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D5AEC" w14:textId="35297616" w:rsidR="001900C0" w:rsidRPr="00F115D9" w:rsidRDefault="00B30BAB" w:rsidP="00D233CE">
      <w:pPr>
        <w:pStyle w:val="NormalIndent"/>
        <w:spacing w:after="0"/>
        <w:ind w:left="0"/>
        <w:jc w:val="both"/>
        <w:rPr>
          <w:b/>
          <w:bCs/>
          <w:color w:val="000000" w:themeColor="text1"/>
        </w:rPr>
      </w:pPr>
      <w:proofErr w:type="spellStart"/>
      <w:r w:rsidRPr="00F115D9">
        <w:rPr>
          <w:b/>
        </w:rPr>
        <w:t>T</w:t>
      </w:r>
      <w:r w:rsidR="00446B33" w:rsidRPr="00F115D9">
        <w:rPr>
          <w:b/>
        </w:rPr>
        <w:t>eglutik</w:t>
      </w:r>
      <w:proofErr w:type="spellEnd"/>
      <w:r w:rsidR="002D7EA5" w:rsidRPr="00F115D9">
        <w:rPr>
          <w:b/>
          <w:vertAlign w:val="superscript"/>
        </w:rPr>
        <w:t>®</w:t>
      </w:r>
      <w:r w:rsidRPr="00F115D9">
        <w:rPr>
          <w:b/>
        </w:rPr>
        <w:t xml:space="preserve"> </w:t>
      </w:r>
      <w:r w:rsidR="00571425" w:rsidRPr="00F115D9">
        <w:rPr>
          <w:b/>
          <w:bCs/>
          <w:color w:val="000000" w:themeColor="text1"/>
        </w:rPr>
        <w:t>(</w:t>
      </w:r>
      <w:proofErr w:type="spellStart"/>
      <w:r w:rsidRPr="00F115D9">
        <w:rPr>
          <w:b/>
        </w:rPr>
        <w:t>riluzole</w:t>
      </w:r>
      <w:proofErr w:type="spellEnd"/>
      <w:r w:rsidRPr="00F115D9">
        <w:rPr>
          <w:b/>
          <w:bCs/>
          <w:color w:val="000000" w:themeColor="text1"/>
        </w:rPr>
        <w:t>) 5mg/</w:t>
      </w:r>
      <w:r w:rsidR="00571425" w:rsidRPr="00F115D9">
        <w:rPr>
          <w:b/>
          <w:bCs/>
          <w:color w:val="000000" w:themeColor="text1"/>
        </w:rPr>
        <w:t xml:space="preserve">ml </w:t>
      </w:r>
      <w:r w:rsidR="00686EBA" w:rsidRPr="00F115D9">
        <w:rPr>
          <w:b/>
          <w:bCs/>
          <w:color w:val="000000" w:themeColor="text1"/>
        </w:rPr>
        <w:t>Oral Suspension</w:t>
      </w:r>
      <w:r w:rsidR="00AE0F4B" w:rsidRPr="00F115D9">
        <w:rPr>
          <w:b/>
          <w:bCs/>
          <w:color w:val="000000" w:themeColor="text1"/>
        </w:rPr>
        <w:t xml:space="preserve"> Prescribing Information</w:t>
      </w:r>
    </w:p>
    <w:p w14:paraId="0D2B00DF" w14:textId="77777777" w:rsidR="001900C0" w:rsidRPr="00F115D9" w:rsidRDefault="001900C0" w:rsidP="00D233CE">
      <w:pPr>
        <w:pStyle w:val="NormalIndent"/>
        <w:spacing w:after="0"/>
        <w:ind w:left="0"/>
        <w:jc w:val="both"/>
        <w:rPr>
          <w:b/>
          <w:color w:val="000000" w:themeColor="text1"/>
          <w:szCs w:val="22"/>
        </w:rPr>
      </w:pPr>
    </w:p>
    <w:p w14:paraId="2CE02901" w14:textId="73C5FA94" w:rsidR="00AE0F4B" w:rsidRPr="00F115D9" w:rsidRDefault="002D7EA5" w:rsidP="00D233CE">
      <w:pPr>
        <w:pStyle w:val="NormalIndent"/>
        <w:spacing w:after="0"/>
        <w:ind w:left="0"/>
        <w:jc w:val="both"/>
        <w:rPr>
          <w:b/>
          <w:color w:val="000000" w:themeColor="text1"/>
          <w:szCs w:val="22"/>
        </w:rPr>
      </w:pPr>
      <w:r w:rsidRPr="00F115D9">
        <w:rPr>
          <w:b/>
          <w:color w:val="000000" w:themeColor="text1"/>
          <w:szCs w:val="22"/>
        </w:rPr>
        <w:t>See</w:t>
      </w:r>
      <w:r w:rsidR="00B735A0" w:rsidRPr="00F115D9">
        <w:rPr>
          <w:b/>
          <w:color w:val="000000" w:themeColor="text1"/>
          <w:szCs w:val="22"/>
        </w:rPr>
        <w:t xml:space="preserve"> Summary of Product</w:t>
      </w:r>
      <w:r w:rsidR="00305039" w:rsidRPr="00F115D9">
        <w:rPr>
          <w:b/>
          <w:color w:val="000000" w:themeColor="text1"/>
          <w:szCs w:val="22"/>
        </w:rPr>
        <w:t xml:space="preserve"> Characteristics </w:t>
      </w:r>
      <w:r w:rsidR="002507B7" w:rsidRPr="00F115D9">
        <w:rPr>
          <w:b/>
          <w:color w:val="000000" w:themeColor="text1"/>
          <w:szCs w:val="22"/>
        </w:rPr>
        <w:t xml:space="preserve">(SPC) </w:t>
      </w:r>
      <w:r w:rsidR="00305039" w:rsidRPr="00F115D9">
        <w:rPr>
          <w:b/>
          <w:color w:val="000000" w:themeColor="text1"/>
          <w:szCs w:val="22"/>
        </w:rPr>
        <w:t xml:space="preserve">before prescribing. </w:t>
      </w:r>
      <w:r w:rsidR="00B30BAB" w:rsidRPr="00F115D9">
        <w:rPr>
          <w:b/>
          <w:color w:val="000000" w:themeColor="text1"/>
          <w:szCs w:val="22"/>
        </w:rPr>
        <w:t xml:space="preserve"> </w:t>
      </w:r>
    </w:p>
    <w:p w14:paraId="6B9D7F6C" w14:textId="77777777" w:rsidR="00446B33" w:rsidRPr="00F115D9" w:rsidRDefault="00305039" w:rsidP="00446B33">
      <w:pPr>
        <w:pStyle w:val="NormalIndent"/>
        <w:spacing w:after="0"/>
        <w:ind w:left="0"/>
        <w:jc w:val="both"/>
        <w:rPr>
          <w:color w:val="000000" w:themeColor="text1"/>
          <w:szCs w:val="22"/>
        </w:rPr>
      </w:pPr>
      <w:r w:rsidRPr="00F115D9">
        <w:rPr>
          <w:b/>
          <w:color w:val="000000" w:themeColor="text1"/>
          <w:szCs w:val="22"/>
        </w:rPr>
        <w:t>Presentation:</w:t>
      </w:r>
      <w:r w:rsidR="002D7EA5" w:rsidRPr="00F115D9">
        <w:rPr>
          <w:color w:val="000000" w:themeColor="text1"/>
          <w:szCs w:val="22"/>
        </w:rPr>
        <w:t xml:space="preserve"> </w:t>
      </w:r>
      <w:r w:rsidR="00AE0F4B" w:rsidRPr="00F115D9">
        <w:rPr>
          <w:color w:val="000000" w:themeColor="text1"/>
          <w:szCs w:val="22"/>
        </w:rPr>
        <w:t>Oral</w:t>
      </w:r>
      <w:r w:rsidR="00F532FE" w:rsidRPr="00F115D9">
        <w:rPr>
          <w:color w:val="000000" w:themeColor="text1"/>
          <w:szCs w:val="22"/>
        </w:rPr>
        <w:t xml:space="preserve"> suspension </w:t>
      </w:r>
      <w:r w:rsidR="002D7EA5" w:rsidRPr="00F115D9">
        <w:rPr>
          <w:color w:val="000000" w:themeColor="text1"/>
          <w:szCs w:val="22"/>
        </w:rPr>
        <w:t xml:space="preserve">containing 5 mg of </w:t>
      </w:r>
      <w:proofErr w:type="spellStart"/>
      <w:r w:rsidR="002D7EA5" w:rsidRPr="00F115D9">
        <w:rPr>
          <w:szCs w:val="22"/>
        </w:rPr>
        <w:t>riluzole</w:t>
      </w:r>
      <w:proofErr w:type="spellEnd"/>
      <w:r w:rsidR="002D7EA5" w:rsidRPr="00F115D9">
        <w:rPr>
          <w:color w:val="000000" w:themeColor="text1"/>
          <w:szCs w:val="22"/>
        </w:rPr>
        <w:t xml:space="preserve"> per 1 ml</w:t>
      </w:r>
      <w:r w:rsidR="00F532FE" w:rsidRPr="00F115D9">
        <w:rPr>
          <w:color w:val="000000" w:themeColor="text1"/>
          <w:szCs w:val="22"/>
        </w:rPr>
        <w:t>.</w:t>
      </w:r>
      <w:r w:rsidRPr="00F115D9">
        <w:rPr>
          <w:color w:val="000000" w:themeColor="text1"/>
          <w:szCs w:val="22"/>
        </w:rPr>
        <w:t xml:space="preserve"> </w:t>
      </w:r>
      <w:r w:rsidRPr="00F115D9">
        <w:rPr>
          <w:b/>
          <w:color w:val="000000" w:themeColor="text1"/>
          <w:szCs w:val="22"/>
        </w:rPr>
        <w:t xml:space="preserve">Indications: </w:t>
      </w:r>
      <w:r w:rsidR="002D7EA5" w:rsidRPr="00F115D9">
        <w:rPr>
          <w:szCs w:val="22"/>
        </w:rPr>
        <w:t>To</w:t>
      </w:r>
      <w:r w:rsidR="00B30BAB" w:rsidRPr="00F115D9">
        <w:rPr>
          <w:szCs w:val="22"/>
        </w:rPr>
        <w:t xml:space="preserve"> extend life or the time to mechanical ventilation for patients with amyotrophic lateral sclerosis (ALS). </w:t>
      </w:r>
      <w:r w:rsidR="002D7EA5" w:rsidRPr="00F115D9">
        <w:rPr>
          <w:szCs w:val="22"/>
        </w:rPr>
        <w:t>Survival in clinical trials was defined as being alive, not intubated for mechanical ventilation and tracheotomy-free. No evidence of efficacy in the late stages of ALS</w:t>
      </w:r>
      <w:r w:rsidR="00366F30" w:rsidRPr="00F115D9">
        <w:rPr>
          <w:szCs w:val="22"/>
        </w:rPr>
        <w:t xml:space="preserve"> and should not be used for any other form of motor neurone disease (MND).</w:t>
      </w:r>
      <w:r w:rsidR="00615DC7" w:rsidRPr="00F115D9">
        <w:rPr>
          <w:b/>
          <w:color w:val="000000" w:themeColor="text1"/>
          <w:szCs w:val="22"/>
        </w:rPr>
        <w:t xml:space="preserve"> </w:t>
      </w:r>
      <w:r w:rsidRPr="00F115D9">
        <w:rPr>
          <w:b/>
          <w:color w:val="000000" w:themeColor="text1"/>
          <w:szCs w:val="22"/>
        </w:rPr>
        <w:t>Dosage and administration:</w:t>
      </w:r>
      <w:r w:rsidRPr="00F115D9">
        <w:rPr>
          <w:color w:val="000000" w:themeColor="text1"/>
          <w:szCs w:val="22"/>
        </w:rPr>
        <w:t xml:space="preserve"> </w:t>
      </w:r>
      <w:r w:rsidR="00366F30" w:rsidRPr="00F115D9">
        <w:rPr>
          <w:color w:val="000000" w:themeColor="text1"/>
          <w:szCs w:val="22"/>
        </w:rPr>
        <w:t xml:space="preserve">For initiation by specialist physicians experienced in MND. </w:t>
      </w:r>
      <w:r w:rsidR="002000FA" w:rsidRPr="00F115D9">
        <w:rPr>
          <w:color w:val="000000" w:themeColor="text1"/>
          <w:szCs w:val="22"/>
        </w:rPr>
        <w:t>Shake gently for at least 30 seconds by rotating the bottle by 180</w:t>
      </w:r>
      <w:r w:rsidR="002000FA" w:rsidRPr="00F115D9">
        <w:rPr>
          <w:color w:val="000000" w:themeColor="text1"/>
          <w:szCs w:val="22"/>
          <w:vertAlign w:val="superscript"/>
        </w:rPr>
        <w:t>o</w:t>
      </w:r>
      <w:r w:rsidR="002000FA" w:rsidRPr="00F115D9">
        <w:rPr>
          <w:color w:val="000000" w:themeColor="text1"/>
          <w:szCs w:val="22"/>
        </w:rPr>
        <w:t xml:space="preserve"> and the homogeneity should be visually verified before measuring the dose using the </w:t>
      </w:r>
      <w:r w:rsidR="00F532FE" w:rsidRPr="00F115D9">
        <w:rPr>
          <w:color w:val="000000" w:themeColor="text1"/>
          <w:szCs w:val="22"/>
        </w:rPr>
        <w:t xml:space="preserve">oral </w:t>
      </w:r>
      <w:r w:rsidR="002000FA" w:rsidRPr="00F115D9">
        <w:rPr>
          <w:color w:val="000000" w:themeColor="text1"/>
          <w:szCs w:val="22"/>
        </w:rPr>
        <w:t xml:space="preserve">syringe provided.  </w:t>
      </w:r>
    </w:p>
    <w:p w14:paraId="0804FA72" w14:textId="0948CC2B" w:rsidR="006D3D9B" w:rsidRPr="00F115D9" w:rsidRDefault="00F115D9" w:rsidP="00446B33">
      <w:pPr>
        <w:tabs>
          <w:tab w:val="left" w:pos="8222"/>
        </w:tabs>
        <w:spacing w:after="0" w:line="240" w:lineRule="auto"/>
        <w:ind w:right="61"/>
        <w:jc w:val="both"/>
        <w:rPr>
          <w:rFonts w:ascii="Times New Roman" w:hAnsi="Times New Roman" w:cs="Times New Roman"/>
          <w:color w:val="000000" w:themeColor="text1"/>
        </w:rPr>
      </w:pPr>
      <w:r w:rsidRPr="00F115D9">
        <w:rPr>
          <w:rFonts w:ascii="Times New Roman" w:hAnsi="Times New Roman" w:cs="Times New Roman"/>
          <w:spacing w:val="-1"/>
        </w:rPr>
        <w:t xml:space="preserve">Dilution with liquids is not necessary. </w:t>
      </w:r>
      <w:r w:rsidR="00446B33" w:rsidRPr="00F115D9">
        <w:rPr>
          <w:rFonts w:ascii="Times New Roman" w:hAnsi="Times New Roman" w:cs="Times New Roman"/>
          <w:spacing w:val="-1"/>
        </w:rPr>
        <w:t xml:space="preserve">The suspension </w:t>
      </w:r>
      <w:r w:rsidRPr="00F115D9">
        <w:rPr>
          <w:rFonts w:ascii="Times New Roman" w:hAnsi="Times New Roman" w:cs="Times New Roman"/>
          <w:spacing w:val="-1"/>
        </w:rPr>
        <w:t xml:space="preserve">is suitable for </w:t>
      </w:r>
      <w:r w:rsidR="00446B33" w:rsidRPr="00F115D9">
        <w:rPr>
          <w:rFonts w:ascii="Times New Roman" w:hAnsi="Times New Roman" w:cs="Times New Roman"/>
          <w:spacing w:val="-1"/>
        </w:rPr>
        <w:t>oral</w:t>
      </w:r>
      <w:r w:rsidRPr="00F115D9">
        <w:rPr>
          <w:rFonts w:ascii="Times New Roman" w:hAnsi="Times New Roman" w:cs="Times New Roman"/>
          <w:spacing w:val="-1"/>
        </w:rPr>
        <w:t xml:space="preserve"> administration and</w:t>
      </w:r>
      <w:r w:rsidR="00446B33" w:rsidRPr="00F115D9">
        <w:rPr>
          <w:rFonts w:ascii="Times New Roman" w:hAnsi="Times New Roman" w:cs="Times New Roman"/>
          <w:spacing w:val="-1"/>
        </w:rPr>
        <w:t xml:space="preserve"> alternatively, </w:t>
      </w:r>
      <w:r w:rsidRPr="00F115D9">
        <w:rPr>
          <w:rFonts w:ascii="Times New Roman" w:hAnsi="Times New Roman" w:cs="Times New Roman"/>
          <w:spacing w:val="-1"/>
        </w:rPr>
        <w:t xml:space="preserve">it is also suitable for administration </w:t>
      </w:r>
      <w:r w:rsidR="00446B33" w:rsidRPr="00F115D9">
        <w:rPr>
          <w:rFonts w:ascii="Times New Roman" w:hAnsi="Times New Roman" w:cs="Times New Roman"/>
          <w:spacing w:val="-1"/>
        </w:rPr>
        <w:t xml:space="preserve">via enteral feeding tubes. </w:t>
      </w:r>
      <w:r w:rsidRPr="00F115D9">
        <w:rPr>
          <w:rFonts w:ascii="Times New Roman" w:hAnsi="Times New Roman" w:cs="Times New Roman"/>
          <w:bCs/>
          <w:lang w:val="en-US"/>
        </w:rPr>
        <w:t xml:space="preserve">The compatibility has been tested with tubes of silicone or polyurethane with diameters from 14Fr to 20 Fr. </w:t>
      </w:r>
      <w:r w:rsidR="002000FA" w:rsidRPr="00044A43">
        <w:rPr>
          <w:rFonts w:ascii="Times New Roman" w:hAnsi="Times New Roman" w:cs="Times New Roman"/>
          <w:bCs/>
          <w:i/>
          <w:iCs/>
          <w:color w:val="000000" w:themeColor="text1"/>
          <w:u w:val="single"/>
        </w:rPr>
        <w:t>Adults</w:t>
      </w:r>
      <w:r w:rsidR="00366F30" w:rsidRPr="00044A43">
        <w:rPr>
          <w:rFonts w:ascii="Times New Roman" w:hAnsi="Times New Roman" w:cs="Times New Roman"/>
          <w:bCs/>
          <w:i/>
          <w:iCs/>
          <w:color w:val="000000" w:themeColor="text1"/>
          <w:u w:val="single"/>
        </w:rPr>
        <w:t xml:space="preserve"> or elderly:</w:t>
      </w:r>
      <w:r w:rsidR="00366F30" w:rsidRPr="00F115D9">
        <w:rPr>
          <w:rFonts w:ascii="Times New Roman" w:hAnsi="Times New Roman" w:cs="Times New Roman"/>
          <w:color w:val="000000" w:themeColor="text1"/>
        </w:rPr>
        <w:t xml:space="preserve"> </w:t>
      </w:r>
      <w:r w:rsidR="002000FA" w:rsidRPr="00F115D9">
        <w:rPr>
          <w:rFonts w:ascii="Times New Roman" w:hAnsi="Times New Roman" w:cs="Times New Roman"/>
          <w:color w:val="000000" w:themeColor="text1"/>
        </w:rPr>
        <w:t>10ml oral</w:t>
      </w:r>
      <w:r w:rsidR="00366F30" w:rsidRPr="00F115D9">
        <w:rPr>
          <w:rFonts w:ascii="Times New Roman" w:hAnsi="Times New Roman" w:cs="Times New Roman"/>
          <w:color w:val="000000" w:themeColor="text1"/>
        </w:rPr>
        <w:t xml:space="preserve"> suspension (</w:t>
      </w:r>
      <w:r w:rsidR="002000FA" w:rsidRPr="00F115D9">
        <w:rPr>
          <w:rFonts w:ascii="Times New Roman" w:hAnsi="Times New Roman" w:cs="Times New Roman"/>
          <w:color w:val="000000" w:themeColor="text1"/>
        </w:rPr>
        <w:t xml:space="preserve">i.e. </w:t>
      </w:r>
      <w:r w:rsidR="00366F30" w:rsidRPr="00F115D9">
        <w:rPr>
          <w:rFonts w:ascii="Times New Roman" w:hAnsi="Times New Roman" w:cs="Times New Roman"/>
          <w:color w:val="000000" w:themeColor="text1"/>
        </w:rPr>
        <w:t xml:space="preserve">50mg </w:t>
      </w:r>
      <w:proofErr w:type="spellStart"/>
      <w:r w:rsidR="00366F30" w:rsidRPr="00F115D9">
        <w:rPr>
          <w:rFonts w:ascii="Times New Roman" w:hAnsi="Times New Roman" w:cs="Times New Roman"/>
          <w:color w:val="000000" w:themeColor="text1"/>
        </w:rPr>
        <w:t>riluzole</w:t>
      </w:r>
      <w:proofErr w:type="spellEnd"/>
      <w:r w:rsidR="00366F30" w:rsidRPr="00F115D9">
        <w:rPr>
          <w:rFonts w:ascii="Times New Roman" w:hAnsi="Times New Roman" w:cs="Times New Roman"/>
          <w:color w:val="000000" w:themeColor="text1"/>
        </w:rPr>
        <w:t xml:space="preserve">) twice daily (i.e. every 12 hours). </w:t>
      </w:r>
      <w:r w:rsidR="00D233CE" w:rsidRPr="00F115D9">
        <w:rPr>
          <w:rFonts w:ascii="Times New Roman" w:hAnsi="Times New Roman" w:cs="Times New Roman"/>
          <w:i/>
          <w:u w:val="single"/>
        </w:rPr>
        <w:t>Paediatric population</w:t>
      </w:r>
      <w:r w:rsidR="00B30BAB" w:rsidRPr="00F115D9">
        <w:rPr>
          <w:rFonts w:ascii="Times New Roman" w:hAnsi="Times New Roman" w:cs="Times New Roman"/>
          <w:u w:val="single"/>
        </w:rPr>
        <w:t>:</w:t>
      </w:r>
      <w:r w:rsidR="00B30BAB" w:rsidRPr="00F115D9">
        <w:rPr>
          <w:rFonts w:ascii="Times New Roman" w:hAnsi="Times New Roman" w:cs="Times New Roman"/>
        </w:rPr>
        <w:t xml:space="preserve"> </w:t>
      </w:r>
      <w:r w:rsidR="009E76A6" w:rsidRPr="00F115D9">
        <w:rPr>
          <w:rFonts w:ascii="Times New Roman" w:hAnsi="Times New Roman" w:cs="Times New Roman"/>
        </w:rPr>
        <w:t>N</w:t>
      </w:r>
      <w:r w:rsidR="00B30BAB" w:rsidRPr="00F115D9">
        <w:rPr>
          <w:rFonts w:ascii="Times New Roman" w:hAnsi="Times New Roman" w:cs="Times New Roman"/>
        </w:rPr>
        <w:t>ot recommended due to</w:t>
      </w:r>
      <w:r w:rsidR="00F532FE" w:rsidRPr="00F115D9">
        <w:rPr>
          <w:rFonts w:ascii="Times New Roman" w:hAnsi="Times New Roman" w:cs="Times New Roman"/>
        </w:rPr>
        <w:t xml:space="preserve"> </w:t>
      </w:r>
      <w:r w:rsidR="00B30BAB" w:rsidRPr="00F115D9">
        <w:rPr>
          <w:rFonts w:ascii="Times New Roman" w:hAnsi="Times New Roman" w:cs="Times New Roman"/>
        </w:rPr>
        <w:t>lack of dat</w:t>
      </w:r>
      <w:r w:rsidR="009E76A6" w:rsidRPr="00F115D9">
        <w:rPr>
          <w:rFonts w:ascii="Times New Roman" w:hAnsi="Times New Roman" w:cs="Times New Roman"/>
        </w:rPr>
        <w:t>a</w:t>
      </w:r>
      <w:r w:rsidR="00B30BAB" w:rsidRPr="00F115D9">
        <w:rPr>
          <w:rFonts w:ascii="Times New Roman" w:hAnsi="Times New Roman" w:cs="Times New Roman"/>
        </w:rPr>
        <w:t xml:space="preserve">. </w:t>
      </w:r>
      <w:r w:rsidR="002000FA" w:rsidRPr="00F115D9">
        <w:rPr>
          <w:rFonts w:ascii="Times New Roman" w:hAnsi="Times New Roman" w:cs="Times New Roman"/>
          <w:i/>
          <w:u w:val="single"/>
        </w:rPr>
        <w:t>Renal impairment</w:t>
      </w:r>
      <w:r w:rsidR="00B30BAB" w:rsidRPr="00F115D9">
        <w:rPr>
          <w:rFonts w:ascii="Times New Roman" w:hAnsi="Times New Roman" w:cs="Times New Roman"/>
          <w:i/>
          <w:u w:val="single"/>
        </w:rPr>
        <w:t>:</w:t>
      </w:r>
      <w:r w:rsidR="00B30BAB" w:rsidRPr="00F115D9">
        <w:rPr>
          <w:rFonts w:ascii="Times New Roman" w:hAnsi="Times New Roman" w:cs="Times New Roman"/>
          <w:i/>
        </w:rPr>
        <w:t xml:space="preserve"> </w:t>
      </w:r>
      <w:r w:rsidR="009E76A6" w:rsidRPr="00F115D9">
        <w:rPr>
          <w:rFonts w:ascii="Times New Roman" w:hAnsi="Times New Roman" w:cs="Times New Roman"/>
        </w:rPr>
        <w:t>N</w:t>
      </w:r>
      <w:r w:rsidR="00B30BAB" w:rsidRPr="00F115D9">
        <w:rPr>
          <w:rFonts w:ascii="Times New Roman" w:hAnsi="Times New Roman" w:cs="Times New Roman"/>
        </w:rPr>
        <w:t>ot recommended</w:t>
      </w:r>
      <w:r w:rsidR="002000FA" w:rsidRPr="00F115D9">
        <w:rPr>
          <w:rFonts w:ascii="Times New Roman" w:hAnsi="Times New Roman" w:cs="Times New Roman"/>
        </w:rPr>
        <w:t xml:space="preserve"> due to lack of data</w:t>
      </w:r>
      <w:r w:rsidR="00CB543E" w:rsidRPr="00F115D9">
        <w:rPr>
          <w:rFonts w:ascii="Times New Roman" w:hAnsi="Times New Roman" w:cs="Times New Roman"/>
        </w:rPr>
        <w:t>.</w:t>
      </w:r>
      <w:r w:rsidR="00F34FF6" w:rsidRPr="00F115D9">
        <w:rPr>
          <w:rFonts w:ascii="Times New Roman" w:hAnsi="Times New Roman" w:cs="Times New Roman"/>
        </w:rPr>
        <w:t xml:space="preserve"> </w:t>
      </w:r>
      <w:r w:rsidR="002000FA" w:rsidRPr="00F115D9">
        <w:rPr>
          <w:rFonts w:ascii="Times New Roman" w:hAnsi="Times New Roman" w:cs="Times New Roman"/>
          <w:i/>
          <w:iCs/>
          <w:color w:val="000000"/>
          <w:u w:val="single"/>
          <w:lang w:val="en"/>
        </w:rPr>
        <w:t>Hepatic impairment</w:t>
      </w:r>
      <w:r w:rsidR="002000FA" w:rsidRPr="00F115D9">
        <w:rPr>
          <w:rFonts w:ascii="Times New Roman" w:hAnsi="Times New Roman" w:cs="Times New Roman"/>
          <w:i/>
          <w:iCs/>
          <w:color w:val="000000"/>
          <w:lang w:val="en"/>
        </w:rPr>
        <w:t xml:space="preserve">: </w:t>
      </w:r>
      <w:r w:rsidR="002000FA" w:rsidRPr="00F115D9">
        <w:rPr>
          <w:rFonts w:ascii="Times New Roman" w:hAnsi="Times New Roman" w:cs="Times New Roman"/>
          <w:color w:val="000000"/>
          <w:lang w:val="en"/>
        </w:rPr>
        <w:t>see below.</w:t>
      </w:r>
      <w:r w:rsidR="0043624D" w:rsidRPr="00F115D9">
        <w:rPr>
          <w:rFonts w:ascii="Times New Roman" w:hAnsi="Times New Roman" w:cs="Times New Roman"/>
          <w:i/>
          <w:iCs/>
          <w:color w:val="000000"/>
          <w:lang w:val="en"/>
        </w:rPr>
        <w:t xml:space="preserve"> </w:t>
      </w:r>
      <w:r w:rsidR="00B30BAB" w:rsidRPr="00F115D9">
        <w:rPr>
          <w:rFonts w:ascii="Times New Roman" w:hAnsi="Times New Roman" w:cs="Times New Roman"/>
          <w:b/>
        </w:rPr>
        <w:t xml:space="preserve">Contraindications: </w:t>
      </w:r>
      <w:r w:rsidR="00B30BAB" w:rsidRPr="00F115D9">
        <w:rPr>
          <w:rFonts w:ascii="Times New Roman" w:hAnsi="Times New Roman" w:cs="Times New Roman"/>
        </w:rPr>
        <w:t>Hypersensitivity to the active substa</w:t>
      </w:r>
      <w:r w:rsidR="00F806B9" w:rsidRPr="00F115D9">
        <w:rPr>
          <w:rFonts w:ascii="Times New Roman" w:hAnsi="Times New Roman" w:cs="Times New Roman"/>
        </w:rPr>
        <w:t>nce or to any of the excipients</w:t>
      </w:r>
      <w:r w:rsidR="00B30BAB" w:rsidRPr="00F115D9">
        <w:rPr>
          <w:rFonts w:ascii="Times New Roman" w:hAnsi="Times New Roman" w:cs="Times New Roman"/>
        </w:rPr>
        <w:t>. Hepatic disease or baseline transaminases greater than 3 times the upper limit of normal. Patients who are pregnant or breast</w:t>
      </w:r>
      <w:bookmarkStart w:id="0" w:name="_GoBack"/>
      <w:bookmarkEnd w:id="0"/>
      <w:r w:rsidR="00B30BAB" w:rsidRPr="00F115D9">
        <w:rPr>
          <w:rFonts w:ascii="Times New Roman" w:hAnsi="Times New Roman" w:cs="Times New Roman"/>
        </w:rPr>
        <w:t xml:space="preserve">-feeding. </w:t>
      </w:r>
      <w:r w:rsidR="00305039" w:rsidRPr="00F115D9">
        <w:rPr>
          <w:rFonts w:ascii="Times New Roman" w:hAnsi="Times New Roman" w:cs="Times New Roman"/>
          <w:b/>
          <w:bCs/>
          <w:color w:val="000000" w:themeColor="text1"/>
        </w:rPr>
        <w:t xml:space="preserve">Warnings and precautions: </w:t>
      </w:r>
      <w:r w:rsidR="005A7FCF">
        <w:rPr>
          <w:rFonts w:ascii="Times New Roman" w:hAnsi="Times New Roman" w:cs="Times New Roman"/>
          <w:i/>
          <w:u w:val="single"/>
        </w:rPr>
        <w:t>Liver</w:t>
      </w:r>
      <w:r w:rsidR="002000FA" w:rsidRPr="00F115D9">
        <w:rPr>
          <w:rFonts w:ascii="Times New Roman" w:hAnsi="Times New Roman" w:cs="Times New Roman"/>
          <w:i/>
          <w:u w:val="single"/>
        </w:rPr>
        <w:t xml:space="preserve"> </w:t>
      </w:r>
      <w:r w:rsidR="008E7B9E" w:rsidRPr="00F115D9">
        <w:rPr>
          <w:rFonts w:ascii="Times New Roman" w:hAnsi="Times New Roman" w:cs="Times New Roman"/>
          <w:i/>
          <w:u w:val="single"/>
        </w:rPr>
        <w:t>impairment:</w:t>
      </w:r>
      <w:r w:rsidR="008E7B9E" w:rsidRPr="00F115D9">
        <w:rPr>
          <w:rFonts w:ascii="Times New Roman" w:hAnsi="Times New Roman" w:cs="Times New Roman"/>
          <w:i/>
        </w:rPr>
        <w:t xml:space="preserve"> </w:t>
      </w:r>
      <w:r w:rsidR="007157BC" w:rsidRPr="00F115D9">
        <w:rPr>
          <w:rFonts w:ascii="Times New Roman" w:hAnsi="Times New Roman" w:cs="Times New Roman"/>
        </w:rPr>
        <w:t>P</w:t>
      </w:r>
      <w:r w:rsidR="008E7B9E" w:rsidRPr="00F115D9">
        <w:rPr>
          <w:rFonts w:ascii="Times New Roman" w:hAnsi="Times New Roman" w:cs="Times New Roman"/>
        </w:rPr>
        <w:t>rescribe with care in patients with a history of abnormal liver function, or in patients with slightl</w:t>
      </w:r>
      <w:r w:rsidR="007157BC" w:rsidRPr="00F115D9">
        <w:rPr>
          <w:rFonts w:ascii="Times New Roman" w:hAnsi="Times New Roman" w:cs="Times New Roman"/>
        </w:rPr>
        <w:t>y elevated serum transaminases</w:t>
      </w:r>
      <w:r w:rsidR="00F03815" w:rsidRPr="00F115D9">
        <w:rPr>
          <w:rFonts w:ascii="Times New Roman" w:hAnsi="Times New Roman" w:cs="Times New Roman"/>
        </w:rPr>
        <w:t xml:space="preserve"> </w:t>
      </w:r>
      <w:r w:rsidR="00F03815" w:rsidRPr="00F115D9">
        <w:rPr>
          <w:rFonts w:ascii="Times New Roman" w:hAnsi="Times New Roman" w:cs="Times New Roman"/>
          <w:color w:val="000000"/>
          <w:lang w:val="en"/>
        </w:rPr>
        <w:t>(ALT/SGPT; AST/SGOT up to 3 times the upper limit of the normal range (ULN))</w:t>
      </w:r>
      <w:r w:rsidR="008E7B9E" w:rsidRPr="00F115D9">
        <w:rPr>
          <w:rFonts w:ascii="Times New Roman" w:hAnsi="Times New Roman" w:cs="Times New Roman"/>
        </w:rPr>
        <w:t>, bilirubin and</w:t>
      </w:r>
      <w:r w:rsidR="007157BC" w:rsidRPr="00F115D9">
        <w:rPr>
          <w:rFonts w:ascii="Times New Roman" w:hAnsi="Times New Roman" w:cs="Times New Roman"/>
        </w:rPr>
        <w:t>/or gamma-glutamyl transferase</w:t>
      </w:r>
      <w:r w:rsidR="008E7B9E" w:rsidRPr="00F115D9">
        <w:rPr>
          <w:rFonts w:ascii="Times New Roman" w:hAnsi="Times New Roman" w:cs="Times New Roman"/>
        </w:rPr>
        <w:t xml:space="preserve"> levels. Baseline elevations o</w:t>
      </w:r>
      <w:r w:rsidR="007157BC" w:rsidRPr="00F115D9">
        <w:rPr>
          <w:rFonts w:ascii="Times New Roman" w:hAnsi="Times New Roman" w:cs="Times New Roman"/>
        </w:rPr>
        <w:t>f several liver function tests</w:t>
      </w:r>
      <w:r w:rsidR="00E82A1C" w:rsidRPr="00F115D9">
        <w:rPr>
          <w:rFonts w:ascii="Times New Roman" w:hAnsi="Times New Roman" w:cs="Times New Roman"/>
        </w:rPr>
        <w:t xml:space="preserve"> (especially </w:t>
      </w:r>
      <w:r w:rsidR="005A7FCF">
        <w:rPr>
          <w:rFonts w:ascii="Times New Roman" w:hAnsi="Times New Roman" w:cs="Times New Roman"/>
        </w:rPr>
        <w:t xml:space="preserve">elevated </w:t>
      </w:r>
      <w:r w:rsidR="00E82A1C" w:rsidRPr="00F115D9">
        <w:rPr>
          <w:rFonts w:ascii="Times New Roman" w:hAnsi="Times New Roman" w:cs="Times New Roman"/>
        </w:rPr>
        <w:t>bilirubin)</w:t>
      </w:r>
      <w:r w:rsidR="007157BC" w:rsidRPr="00F115D9">
        <w:rPr>
          <w:rFonts w:ascii="Times New Roman" w:hAnsi="Times New Roman" w:cs="Times New Roman"/>
        </w:rPr>
        <w:t xml:space="preserve"> </w:t>
      </w:r>
      <w:r w:rsidR="008E7B9E" w:rsidRPr="00F115D9">
        <w:rPr>
          <w:rFonts w:ascii="Times New Roman" w:hAnsi="Times New Roman" w:cs="Times New Roman"/>
        </w:rPr>
        <w:t>shoul</w:t>
      </w:r>
      <w:r w:rsidR="006B3E72" w:rsidRPr="00F115D9">
        <w:rPr>
          <w:rFonts w:ascii="Times New Roman" w:hAnsi="Times New Roman" w:cs="Times New Roman"/>
        </w:rPr>
        <w:t xml:space="preserve">d preclude the use of </w:t>
      </w:r>
      <w:proofErr w:type="spellStart"/>
      <w:r w:rsidR="006B3E72" w:rsidRPr="00F115D9">
        <w:rPr>
          <w:rFonts w:ascii="Times New Roman" w:hAnsi="Times New Roman" w:cs="Times New Roman"/>
        </w:rPr>
        <w:t>riluzole</w:t>
      </w:r>
      <w:proofErr w:type="spellEnd"/>
      <w:r w:rsidR="008E7B9E" w:rsidRPr="00F115D9">
        <w:rPr>
          <w:rFonts w:ascii="Times New Roman" w:hAnsi="Times New Roman" w:cs="Times New Roman"/>
        </w:rPr>
        <w:t xml:space="preserve">. </w:t>
      </w:r>
      <w:r w:rsidR="00E82A1C" w:rsidRPr="00F115D9">
        <w:rPr>
          <w:rFonts w:ascii="Times New Roman" w:hAnsi="Times New Roman" w:cs="Times New Roman"/>
        </w:rPr>
        <w:t>Bec</w:t>
      </w:r>
      <w:r w:rsidR="00E82A1C" w:rsidRPr="001C3FC1">
        <w:rPr>
          <w:rFonts w:ascii="Times New Roman" w:hAnsi="Times New Roman" w:cs="Times New Roman"/>
        </w:rPr>
        <w:t>ause of the risk of hepatitis, serum transaminases, including ALT</w:t>
      </w:r>
      <w:r w:rsidR="001C3FC1" w:rsidRPr="001C3FC1">
        <w:rPr>
          <w:rFonts w:ascii="Times New Roman" w:hAnsi="Times New Roman" w:cs="Times New Roman"/>
        </w:rPr>
        <w:t xml:space="preserve"> (</w:t>
      </w:r>
      <w:r w:rsidR="001C3FC1" w:rsidRPr="001C3FC1">
        <w:rPr>
          <w:rFonts w:ascii="Times New Roman" w:hAnsi="Times New Roman" w:cs="Times New Roman"/>
          <w:color w:val="000000"/>
          <w:lang w:val="en"/>
        </w:rPr>
        <w:t>alanine aminotransferase</w:t>
      </w:r>
      <w:r w:rsidR="001C3FC1" w:rsidRPr="001C3FC1">
        <w:rPr>
          <w:rFonts w:ascii="Times New Roman" w:hAnsi="Times New Roman" w:cs="Times New Roman"/>
          <w:color w:val="000000"/>
          <w:lang w:val="en"/>
        </w:rPr>
        <w:t>)</w:t>
      </w:r>
      <w:r w:rsidR="00E82A1C" w:rsidRPr="001C3FC1">
        <w:rPr>
          <w:rFonts w:ascii="Times New Roman" w:hAnsi="Times New Roman" w:cs="Times New Roman"/>
        </w:rPr>
        <w:t>, should</w:t>
      </w:r>
      <w:r w:rsidR="00E82A1C" w:rsidRPr="00F115D9">
        <w:rPr>
          <w:rFonts w:ascii="Times New Roman" w:hAnsi="Times New Roman" w:cs="Times New Roman"/>
        </w:rPr>
        <w:t xml:space="preserve"> be measured before and during therapy with </w:t>
      </w:r>
      <w:proofErr w:type="spellStart"/>
      <w:r w:rsidR="00E82A1C" w:rsidRPr="00F115D9">
        <w:rPr>
          <w:rFonts w:ascii="Times New Roman" w:hAnsi="Times New Roman" w:cs="Times New Roman"/>
        </w:rPr>
        <w:t>riluzole</w:t>
      </w:r>
      <w:proofErr w:type="spellEnd"/>
      <w:r w:rsidR="00E82A1C" w:rsidRPr="00F115D9">
        <w:rPr>
          <w:rFonts w:ascii="Times New Roman" w:hAnsi="Times New Roman" w:cs="Times New Roman"/>
        </w:rPr>
        <w:t xml:space="preserve">. ALT should be measured every month during the first 3 months of treatment, every 3 months during the remainder of the first year, and periodically thereafter. ALT levels should be measured more frequently in patients who develop elevated ALT levels. Discontinue if ALT levels increase to 5 times the ULN. </w:t>
      </w:r>
      <w:r w:rsidR="005A7FCF">
        <w:rPr>
          <w:rFonts w:ascii="Times New Roman" w:hAnsi="Times New Roman" w:cs="Times New Roman"/>
        </w:rPr>
        <w:t xml:space="preserve">Re-administration of </w:t>
      </w:r>
      <w:proofErr w:type="spellStart"/>
      <w:r w:rsidR="005A7FCF">
        <w:rPr>
          <w:rFonts w:ascii="Times New Roman" w:hAnsi="Times New Roman" w:cs="Times New Roman"/>
        </w:rPr>
        <w:t>riluzole</w:t>
      </w:r>
      <w:proofErr w:type="spellEnd"/>
      <w:r w:rsidR="005A7FCF">
        <w:rPr>
          <w:rFonts w:ascii="Times New Roman" w:hAnsi="Times New Roman" w:cs="Times New Roman"/>
        </w:rPr>
        <w:t xml:space="preserve"> cannot be recommended. </w:t>
      </w:r>
      <w:r w:rsidR="008E7B9E" w:rsidRPr="00F115D9">
        <w:rPr>
          <w:rFonts w:ascii="Times New Roman" w:hAnsi="Times New Roman" w:cs="Times New Roman"/>
          <w:i/>
          <w:u w:val="single"/>
        </w:rPr>
        <w:t>Neutropenia</w:t>
      </w:r>
      <w:r w:rsidR="008E7B9E" w:rsidRPr="00F115D9">
        <w:rPr>
          <w:rFonts w:ascii="Times New Roman" w:hAnsi="Times New Roman" w:cs="Times New Roman"/>
          <w:i/>
        </w:rPr>
        <w:t>:</w:t>
      </w:r>
      <w:r w:rsidR="00195AC0" w:rsidRPr="00F115D9">
        <w:rPr>
          <w:rFonts w:ascii="Times New Roman" w:hAnsi="Times New Roman" w:cs="Times New Roman"/>
          <w:i/>
        </w:rPr>
        <w:t xml:space="preserve"> </w:t>
      </w:r>
      <w:r w:rsidR="00E82A1C" w:rsidRPr="00F115D9">
        <w:rPr>
          <w:rFonts w:ascii="Times New Roman" w:hAnsi="Times New Roman" w:cs="Times New Roman"/>
        </w:rPr>
        <w:t xml:space="preserve">Counsel patients </w:t>
      </w:r>
      <w:r w:rsidR="008E7B9E" w:rsidRPr="00F115D9">
        <w:rPr>
          <w:rFonts w:ascii="Times New Roman" w:hAnsi="Times New Roman" w:cs="Times New Roman"/>
        </w:rPr>
        <w:t>to report any febrile illness</w:t>
      </w:r>
      <w:r w:rsidR="00E82A1C" w:rsidRPr="00F115D9">
        <w:rPr>
          <w:rFonts w:ascii="Times New Roman" w:hAnsi="Times New Roman" w:cs="Times New Roman"/>
        </w:rPr>
        <w:t xml:space="preserve"> and if reported, check white blood cell counts and discontinue in case of neutropenia.</w:t>
      </w:r>
      <w:r w:rsidR="008E7B9E" w:rsidRPr="00F115D9">
        <w:rPr>
          <w:rFonts w:ascii="Times New Roman" w:hAnsi="Times New Roman" w:cs="Times New Roman"/>
        </w:rPr>
        <w:t xml:space="preserve"> </w:t>
      </w:r>
      <w:r w:rsidR="008E7B9E" w:rsidRPr="00F115D9">
        <w:rPr>
          <w:rFonts w:ascii="Times New Roman" w:hAnsi="Times New Roman" w:cs="Times New Roman"/>
          <w:i/>
          <w:u w:val="single"/>
        </w:rPr>
        <w:t>Interstitial lung disease</w:t>
      </w:r>
      <w:r w:rsidR="00E82A1C" w:rsidRPr="00F115D9">
        <w:rPr>
          <w:rFonts w:ascii="Times New Roman" w:hAnsi="Times New Roman" w:cs="Times New Roman"/>
          <w:i/>
          <w:u w:val="single"/>
        </w:rPr>
        <w:t xml:space="preserve"> (ILD)</w:t>
      </w:r>
      <w:r w:rsidR="008E7B9E" w:rsidRPr="00F115D9">
        <w:rPr>
          <w:rFonts w:ascii="Times New Roman" w:hAnsi="Times New Roman" w:cs="Times New Roman"/>
        </w:rPr>
        <w:t xml:space="preserve">: </w:t>
      </w:r>
      <w:r w:rsidR="00CB543E" w:rsidRPr="00F115D9">
        <w:rPr>
          <w:rFonts w:ascii="Times New Roman" w:hAnsi="Times New Roman" w:cs="Times New Roman"/>
        </w:rPr>
        <w:t xml:space="preserve">Cases (some severe) have been reported. </w:t>
      </w:r>
      <w:r w:rsidR="00E82A1C" w:rsidRPr="00F115D9">
        <w:rPr>
          <w:rFonts w:ascii="Times New Roman" w:hAnsi="Times New Roman" w:cs="Times New Roman"/>
        </w:rPr>
        <w:t xml:space="preserve">Perform chest radiography if patients develop respiratory symptoms such as dry cough and/or dyspnoea and in case of findings suggestive of ILD, discontinue </w:t>
      </w:r>
      <w:proofErr w:type="spellStart"/>
      <w:r w:rsidR="00E82A1C" w:rsidRPr="00F115D9">
        <w:rPr>
          <w:rFonts w:ascii="Times New Roman" w:hAnsi="Times New Roman" w:cs="Times New Roman"/>
        </w:rPr>
        <w:t>riluzole</w:t>
      </w:r>
      <w:proofErr w:type="spellEnd"/>
      <w:r w:rsidR="00E82A1C" w:rsidRPr="00F115D9">
        <w:rPr>
          <w:rFonts w:ascii="Times New Roman" w:hAnsi="Times New Roman" w:cs="Times New Roman"/>
        </w:rPr>
        <w:t xml:space="preserve"> immediately.</w:t>
      </w:r>
      <w:r w:rsidR="00CB543E" w:rsidRPr="00F115D9">
        <w:rPr>
          <w:rFonts w:ascii="Times New Roman" w:hAnsi="Times New Roman" w:cs="Times New Roman"/>
        </w:rPr>
        <w:t xml:space="preserve"> In </w:t>
      </w:r>
      <w:proofErr w:type="gramStart"/>
      <w:r w:rsidR="00CB543E" w:rsidRPr="00F115D9">
        <w:rPr>
          <w:rFonts w:ascii="Times New Roman" w:hAnsi="Times New Roman" w:cs="Times New Roman"/>
        </w:rPr>
        <w:t>the majority of</w:t>
      </w:r>
      <w:proofErr w:type="gramEnd"/>
      <w:r w:rsidR="00CB543E" w:rsidRPr="00F115D9">
        <w:rPr>
          <w:rFonts w:ascii="Times New Roman" w:hAnsi="Times New Roman" w:cs="Times New Roman"/>
        </w:rPr>
        <w:t xml:space="preserve"> the reported cases, symptoms resolved after drug discontinuation and symptomatic treatment.</w:t>
      </w:r>
      <w:r w:rsidR="00E37320" w:rsidRPr="00F115D9">
        <w:rPr>
          <w:rFonts w:ascii="Times New Roman" w:hAnsi="Times New Roman" w:cs="Times New Roman"/>
        </w:rPr>
        <w:t xml:space="preserve"> </w:t>
      </w:r>
      <w:r w:rsidR="005A7FCF" w:rsidRPr="00F115D9">
        <w:rPr>
          <w:rFonts w:ascii="Times New Roman" w:hAnsi="Times New Roman" w:cs="Times New Roman"/>
          <w:i/>
          <w:u w:val="single"/>
        </w:rPr>
        <w:t>Renal impairment:</w:t>
      </w:r>
      <w:r w:rsidR="005A7FCF" w:rsidRPr="00F115D9">
        <w:rPr>
          <w:rFonts w:ascii="Times New Roman" w:hAnsi="Times New Roman" w:cs="Times New Roman"/>
          <w:i/>
        </w:rPr>
        <w:t xml:space="preserve"> </w:t>
      </w:r>
      <w:r w:rsidR="005A7FCF">
        <w:rPr>
          <w:rFonts w:ascii="Times New Roman" w:hAnsi="Times New Roman" w:cs="Times New Roman"/>
          <w:iCs/>
        </w:rPr>
        <w:t>See above</w:t>
      </w:r>
      <w:r w:rsidR="005A7FCF" w:rsidRPr="00F115D9">
        <w:rPr>
          <w:rFonts w:ascii="Times New Roman" w:hAnsi="Times New Roman" w:cs="Times New Roman"/>
        </w:rPr>
        <w:t xml:space="preserve">. </w:t>
      </w:r>
      <w:r w:rsidR="007157BC" w:rsidRPr="00F115D9">
        <w:rPr>
          <w:rFonts w:ascii="Times New Roman" w:hAnsi="Times New Roman" w:cs="Times New Roman"/>
          <w:i/>
          <w:u w:val="single"/>
        </w:rPr>
        <w:t>Other</w:t>
      </w:r>
      <w:r w:rsidR="007157BC" w:rsidRPr="00F115D9">
        <w:rPr>
          <w:rFonts w:ascii="Times New Roman" w:hAnsi="Times New Roman" w:cs="Times New Roman"/>
          <w:i/>
        </w:rPr>
        <w:t>:</w:t>
      </w:r>
      <w:r w:rsidR="007157BC" w:rsidRPr="00F115D9">
        <w:rPr>
          <w:rFonts w:ascii="Times New Roman" w:hAnsi="Times New Roman" w:cs="Times New Roman"/>
        </w:rPr>
        <w:t xml:space="preserve"> </w:t>
      </w:r>
      <w:r w:rsidR="00CB543E" w:rsidRPr="00F115D9">
        <w:rPr>
          <w:rFonts w:ascii="Times New Roman" w:hAnsi="Times New Roman" w:cs="Times New Roman"/>
        </w:rPr>
        <w:t xml:space="preserve">Patients </w:t>
      </w:r>
      <w:r w:rsidR="008E7B9E" w:rsidRPr="00F115D9">
        <w:rPr>
          <w:rFonts w:ascii="Times New Roman" w:hAnsi="Times New Roman" w:cs="Times New Roman"/>
        </w:rPr>
        <w:t>with rare hereditary problems of fructose intolerance should not take this medicine</w:t>
      </w:r>
      <w:r w:rsidR="00CB543E" w:rsidRPr="00F115D9">
        <w:rPr>
          <w:rFonts w:ascii="Times New Roman" w:hAnsi="Times New Roman" w:cs="Times New Roman"/>
        </w:rPr>
        <w:t xml:space="preserve"> because it contains liquid sorbitol (E420)</w:t>
      </w:r>
      <w:r w:rsidR="008E7B9E" w:rsidRPr="00F115D9">
        <w:rPr>
          <w:rFonts w:ascii="Times New Roman" w:hAnsi="Times New Roman" w:cs="Times New Roman"/>
        </w:rPr>
        <w:t xml:space="preserve">. </w:t>
      </w:r>
      <w:r w:rsidR="00686EBA" w:rsidRPr="00F115D9">
        <w:rPr>
          <w:rFonts w:ascii="Times New Roman" w:hAnsi="Times New Roman" w:cs="Times New Roman"/>
          <w:b/>
          <w:bCs/>
          <w:color w:val="000000" w:themeColor="text1"/>
        </w:rPr>
        <w:t>Interactions:</w:t>
      </w:r>
      <w:r w:rsidR="00686EBA" w:rsidRPr="00F115D9">
        <w:rPr>
          <w:rFonts w:ascii="Times New Roman" w:hAnsi="Times New Roman" w:cs="Times New Roman"/>
          <w:color w:val="000000" w:themeColor="text1"/>
        </w:rPr>
        <w:t> </w:t>
      </w:r>
      <w:r w:rsidR="00D233CE" w:rsidRPr="00F115D9">
        <w:rPr>
          <w:rFonts w:ascii="Times New Roman" w:hAnsi="Times New Roman" w:cs="Times New Roman"/>
        </w:rPr>
        <w:t xml:space="preserve">There have been no clinical studies to evaluate the interactions of </w:t>
      </w:r>
      <w:proofErr w:type="spellStart"/>
      <w:r w:rsidR="00D233CE" w:rsidRPr="00F115D9">
        <w:rPr>
          <w:rFonts w:ascii="Times New Roman" w:hAnsi="Times New Roman" w:cs="Times New Roman"/>
        </w:rPr>
        <w:t>riluzole</w:t>
      </w:r>
      <w:proofErr w:type="spellEnd"/>
      <w:r w:rsidR="00D233CE" w:rsidRPr="00F115D9">
        <w:rPr>
          <w:rFonts w:ascii="Times New Roman" w:hAnsi="Times New Roman" w:cs="Times New Roman"/>
        </w:rPr>
        <w:t xml:space="preserve"> with other medicinal products.</w:t>
      </w:r>
      <w:r w:rsidR="008E7B9E" w:rsidRPr="00F115D9">
        <w:rPr>
          <w:rFonts w:ascii="Times New Roman" w:hAnsi="Times New Roman" w:cs="Times New Roman"/>
        </w:rPr>
        <w:t xml:space="preserve"> </w:t>
      </w:r>
      <w:r w:rsidR="008E7B9E" w:rsidRPr="00F115D9">
        <w:rPr>
          <w:rFonts w:ascii="Times New Roman" w:hAnsi="Times New Roman" w:cs="Times New Roman"/>
          <w:i/>
        </w:rPr>
        <w:t xml:space="preserve">In vitro </w:t>
      </w:r>
      <w:r w:rsidR="008E7B9E" w:rsidRPr="00F115D9">
        <w:rPr>
          <w:rFonts w:ascii="Times New Roman" w:hAnsi="Times New Roman" w:cs="Times New Roman"/>
        </w:rPr>
        <w:t xml:space="preserve">studies suggest that CYP 1A2 is the principal isozyme involved in the initial oxidative metabolism of </w:t>
      </w:r>
      <w:proofErr w:type="spellStart"/>
      <w:r w:rsidR="008E7B9E" w:rsidRPr="00F115D9">
        <w:rPr>
          <w:rFonts w:ascii="Times New Roman" w:hAnsi="Times New Roman" w:cs="Times New Roman"/>
        </w:rPr>
        <w:t>riluzole</w:t>
      </w:r>
      <w:proofErr w:type="spellEnd"/>
      <w:r w:rsidR="008E7B9E" w:rsidRPr="00F115D9">
        <w:rPr>
          <w:rFonts w:ascii="Times New Roman" w:hAnsi="Times New Roman" w:cs="Times New Roman"/>
        </w:rPr>
        <w:t xml:space="preserve">. Inhibitors of CYP 1A2 (e.g. caffeine, diclofenac, diazepam, nicergoline, clomipramine, imipramine, fluvoxamine, phenacetin, theophylline, amitriptyline and quinolones) could potentially decrease the rate of </w:t>
      </w:r>
      <w:proofErr w:type="spellStart"/>
      <w:r w:rsidR="008E7B9E" w:rsidRPr="00F115D9">
        <w:rPr>
          <w:rFonts w:ascii="Times New Roman" w:hAnsi="Times New Roman" w:cs="Times New Roman"/>
        </w:rPr>
        <w:t>riluzole</w:t>
      </w:r>
      <w:proofErr w:type="spellEnd"/>
      <w:r w:rsidR="008E7B9E" w:rsidRPr="00F115D9">
        <w:rPr>
          <w:rFonts w:ascii="Times New Roman" w:hAnsi="Times New Roman" w:cs="Times New Roman"/>
        </w:rPr>
        <w:t xml:space="preserve"> elimination, while inducers of CYP 1A2 (e.g. cigarette smoke, charcoal-broiled food, rifampicin and omeprazole) could increase the rate of </w:t>
      </w:r>
      <w:proofErr w:type="spellStart"/>
      <w:r w:rsidR="008E7B9E" w:rsidRPr="00F115D9">
        <w:rPr>
          <w:rFonts w:ascii="Times New Roman" w:hAnsi="Times New Roman" w:cs="Times New Roman"/>
        </w:rPr>
        <w:t>riluzole</w:t>
      </w:r>
      <w:proofErr w:type="spellEnd"/>
      <w:r w:rsidR="008E7B9E" w:rsidRPr="00F115D9">
        <w:rPr>
          <w:rFonts w:ascii="Times New Roman" w:hAnsi="Times New Roman" w:cs="Times New Roman"/>
        </w:rPr>
        <w:t xml:space="preserve"> elimination</w:t>
      </w:r>
      <w:r w:rsidR="00E257DC" w:rsidRPr="00F115D9">
        <w:rPr>
          <w:rFonts w:ascii="Times New Roman" w:hAnsi="Times New Roman" w:cs="Times New Roman"/>
          <w:color w:val="000000" w:themeColor="text1"/>
        </w:rPr>
        <w:t>.</w:t>
      </w:r>
      <w:r w:rsidR="00697CDE" w:rsidRPr="00F115D9">
        <w:rPr>
          <w:rFonts w:ascii="Times New Roman" w:hAnsi="Times New Roman" w:cs="Times New Roman"/>
          <w:color w:val="000000" w:themeColor="text1"/>
        </w:rPr>
        <w:t xml:space="preserve"> </w:t>
      </w:r>
      <w:r w:rsidR="00686EBA" w:rsidRPr="00F115D9">
        <w:rPr>
          <w:rFonts w:ascii="Times New Roman" w:hAnsi="Times New Roman" w:cs="Times New Roman"/>
          <w:b/>
          <w:bCs/>
          <w:color w:val="000000" w:themeColor="text1"/>
        </w:rPr>
        <w:t>Pregnancy and</w:t>
      </w:r>
      <w:r w:rsidR="00697CDE" w:rsidRPr="00F115D9">
        <w:rPr>
          <w:rFonts w:ascii="Times New Roman" w:hAnsi="Times New Roman" w:cs="Times New Roman"/>
          <w:b/>
          <w:bCs/>
          <w:color w:val="000000" w:themeColor="text1"/>
        </w:rPr>
        <w:t xml:space="preserve"> </w:t>
      </w:r>
      <w:r w:rsidR="00686EBA" w:rsidRPr="00F115D9">
        <w:rPr>
          <w:rFonts w:ascii="Times New Roman" w:hAnsi="Times New Roman" w:cs="Times New Roman"/>
          <w:b/>
          <w:bCs/>
          <w:color w:val="000000" w:themeColor="text1"/>
        </w:rPr>
        <w:t>Lactation:</w:t>
      </w:r>
      <w:r w:rsidR="00686EBA" w:rsidRPr="00F115D9">
        <w:rPr>
          <w:rFonts w:ascii="Times New Roman" w:hAnsi="Times New Roman" w:cs="Times New Roman"/>
          <w:color w:val="000000" w:themeColor="text1"/>
        </w:rPr>
        <w:t> </w:t>
      </w:r>
      <w:r w:rsidR="00D233CE" w:rsidRPr="00F115D9">
        <w:rPr>
          <w:rFonts w:ascii="Times New Roman" w:hAnsi="Times New Roman" w:cs="Times New Roman"/>
          <w:color w:val="000000" w:themeColor="text1"/>
        </w:rPr>
        <w:t xml:space="preserve"> </w:t>
      </w:r>
      <w:r w:rsidR="00CB543E" w:rsidRPr="00F115D9">
        <w:rPr>
          <w:rFonts w:ascii="Times New Roman" w:hAnsi="Times New Roman" w:cs="Times New Roman"/>
          <w:color w:val="000000" w:themeColor="text1"/>
        </w:rPr>
        <w:t xml:space="preserve">Contraindicated. </w:t>
      </w:r>
      <w:r w:rsidR="00CB543E" w:rsidRPr="00F115D9">
        <w:rPr>
          <w:rFonts w:ascii="Times New Roman" w:hAnsi="Times New Roman" w:cs="Times New Roman"/>
          <w:b/>
          <w:color w:val="000000" w:themeColor="text1"/>
        </w:rPr>
        <w:t>Fertility:</w:t>
      </w:r>
      <w:r w:rsidR="00CB543E" w:rsidRPr="00F115D9">
        <w:rPr>
          <w:rFonts w:ascii="Times New Roman" w:hAnsi="Times New Roman" w:cs="Times New Roman"/>
        </w:rPr>
        <w:t xml:space="preserve"> </w:t>
      </w:r>
      <w:r w:rsidR="0065383B">
        <w:rPr>
          <w:rFonts w:ascii="Times New Roman" w:hAnsi="Times New Roman" w:cs="Times New Roman"/>
        </w:rPr>
        <w:t>slightly i</w:t>
      </w:r>
      <w:r w:rsidR="00CB543E" w:rsidRPr="00F115D9">
        <w:rPr>
          <w:rFonts w:ascii="Times New Roman" w:hAnsi="Times New Roman" w:cs="Times New Roman"/>
        </w:rPr>
        <w:t xml:space="preserve">mpaired reproductive performance </w:t>
      </w:r>
      <w:r w:rsidR="0065383B">
        <w:rPr>
          <w:rFonts w:ascii="Times New Roman" w:hAnsi="Times New Roman" w:cs="Times New Roman"/>
        </w:rPr>
        <w:t xml:space="preserve">and fertility </w:t>
      </w:r>
      <w:r w:rsidR="00CB543E" w:rsidRPr="00F115D9">
        <w:rPr>
          <w:rFonts w:ascii="Times New Roman" w:hAnsi="Times New Roman" w:cs="Times New Roman"/>
        </w:rPr>
        <w:t xml:space="preserve">observed in rats at doses higher than the therapeutic dose. </w:t>
      </w:r>
      <w:r w:rsidR="00E37320" w:rsidRPr="00F115D9">
        <w:rPr>
          <w:rFonts w:ascii="Times New Roman" w:hAnsi="Times New Roman" w:cs="Times New Roman"/>
          <w:b/>
          <w:bCs/>
          <w:color w:val="000000"/>
        </w:rPr>
        <w:t>Effects on ability to drive and use machines</w:t>
      </w:r>
      <w:r w:rsidR="00CB543E" w:rsidRPr="00F115D9">
        <w:rPr>
          <w:rFonts w:ascii="Times New Roman" w:hAnsi="Times New Roman" w:cs="Times New Roman"/>
        </w:rPr>
        <w:t>: Advi</w:t>
      </w:r>
      <w:r w:rsidR="00A56C31" w:rsidRPr="00F115D9">
        <w:rPr>
          <w:rFonts w:ascii="Times New Roman" w:hAnsi="Times New Roman" w:cs="Times New Roman"/>
        </w:rPr>
        <w:t>s</w:t>
      </w:r>
      <w:r w:rsidR="00CB543E" w:rsidRPr="00F115D9">
        <w:rPr>
          <w:rFonts w:ascii="Times New Roman" w:hAnsi="Times New Roman" w:cs="Times New Roman"/>
        </w:rPr>
        <w:t>e patients not to drive or operate machinery if symptoms of dizziness or vertigo</w:t>
      </w:r>
      <w:r w:rsidR="00AC686E" w:rsidRPr="00F115D9">
        <w:rPr>
          <w:rFonts w:ascii="Times New Roman" w:hAnsi="Times New Roman" w:cs="Times New Roman"/>
        </w:rPr>
        <w:t xml:space="preserve"> occur.  No studies performed in this area.</w:t>
      </w:r>
      <w:r w:rsidR="00E37320" w:rsidRPr="00F115D9">
        <w:rPr>
          <w:rFonts w:ascii="Times New Roman" w:hAnsi="Times New Roman" w:cs="Times New Roman"/>
        </w:rPr>
        <w:t xml:space="preserve"> </w:t>
      </w:r>
      <w:r w:rsidR="009705B4" w:rsidRPr="00F115D9">
        <w:rPr>
          <w:rFonts w:ascii="Times New Roman" w:hAnsi="Times New Roman" w:cs="Times New Roman"/>
          <w:b/>
          <w:bCs/>
          <w:color w:val="000000" w:themeColor="text1"/>
        </w:rPr>
        <w:t>Undesirable</w:t>
      </w:r>
      <w:r w:rsidR="006D3D9B" w:rsidRPr="00F115D9">
        <w:rPr>
          <w:rFonts w:ascii="Times New Roman" w:hAnsi="Times New Roman" w:cs="Times New Roman"/>
          <w:b/>
          <w:bCs/>
          <w:color w:val="000000" w:themeColor="text1"/>
        </w:rPr>
        <w:t xml:space="preserve"> effects: </w:t>
      </w:r>
      <w:r w:rsidR="00EA795D" w:rsidRPr="00F115D9">
        <w:rPr>
          <w:rFonts w:ascii="Times New Roman" w:hAnsi="Times New Roman" w:cs="Times New Roman"/>
        </w:rPr>
        <w:t>Adverse effects reported in</w:t>
      </w:r>
      <w:r w:rsidR="00E257DC" w:rsidRPr="00F115D9">
        <w:rPr>
          <w:rFonts w:ascii="Times New Roman" w:hAnsi="Times New Roman" w:cs="Times New Roman"/>
        </w:rPr>
        <w:t xml:space="preserve"> phase III clinical studies conducted in ALS patients</w:t>
      </w:r>
      <w:r w:rsidR="00EA795D" w:rsidRPr="00F115D9">
        <w:rPr>
          <w:rFonts w:ascii="Times New Roman" w:hAnsi="Times New Roman" w:cs="Times New Roman"/>
        </w:rPr>
        <w:t>:</w:t>
      </w:r>
      <w:r w:rsidR="009B03D1" w:rsidRPr="00F115D9">
        <w:rPr>
          <w:rFonts w:ascii="Times New Roman" w:hAnsi="Times New Roman" w:cs="Times New Roman"/>
        </w:rPr>
        <w:t xml:space="preserve"> </w:t>
      </w:r>
      <w:r w:rsidR="00E257DC" w:rsidRPr="00F115D9">
        <w:rPr>
          <w:rFonts w:ascii="Times New Roman" w:hAnsi="Times New Roman" w:cs="Times New Roman"/>
          <w:i/>
        </w:rPr>
        <w:t>Very</w:t>
      </w:r>
      <w:r w:rsidR="00E257DC" w:rsidRPr="00F115D9">
        <w:rPr>
          <w:rFonts w:ascii="Times New Roman" w:hAnsi="Times New Roman" w:cs="Times New Roman"/>
        </w:rPr>
        <w:t xml:space="preserve"> </w:t>
      </w:r>
      <w:r w:rsidR="00E257DC" w:rsidRPr="00F115D9">
        <w:rPr>
          <w:rFonts w:ascii="Times New Roman" w:hAnsi="Times New Roman" w:cs="Times New Roman"/>
          <w:i/>
        </w:rPr>
        <w:t>common</w:t>
      </w:r>
      <w:r w:rsidR="00EA795D" w:rsidRPr="00F115D9">
        <w:rPr>
          <w:rFonts w:ascii="Times New Roman" w:hAnsi="Times New Roman" w:cs="Times New Roman"/>
          <w:i/>
        </w:rPr>
        <w:t xml:space="preserve"> (</w:t>
      </w:r>
      <w:r w:rsidR="00EA795D" w:rsidRPr="00F115D9">
        <w:rPr>
          <w:rFonts w:ascii="Times New Roman" w:hAnsi="Times New Roman" w:cs="Times New Roman"/>
          <w:i/>
          <w:u w:val="single"/>
        </w:rPr>
        <w:t>&gt;</w:t>
      </w:r>
      <w:r w:rsidR="00EA795D" w:rsidRPr="00F115D9">
        <w:rPr>
          <w:rFonts w:ascii="Times New Roman" w:hAnsi="Times New Roman" w:cs="Times New Roman"/>
          <w:i/>
        </w:rPr>
        <w:t>1/10)</w:t>
      </w:r>
      <w:r w:rsidR="00E257DC" w:rsidRPr="00F115D9">
        <w:rPr>
          <w:rFonts w:ascii="Times New Roman" w:hAnsi="Times New Roman" w:cs="Times New Roman"/>
        </w:rPr>
        <w:t>: nausea</w:t>
      </w:r>
      <w:r w:rsidR="00EA795D" w:rsidRPr="00F115D9">
        <w:rPr>
          <w:rFonts w:ascii="Times New Roman" w:hAnsi="Times New Roman" w:cs="Times New Roman"/>
        </w:rPr>
        <w:t>,</w:t>
      </w:r>
      <w:r w:rsidR="00E257DC" w:rsidRPr="00F115D9">
        <w:rPr>
          <w:rFonts w:ascii="Times New Roman" w:hAnsi="Times New Roman" w:cs="Times New Roman"/>
        </w:rPr>
        <w:t xml:space="preserve"> abnormal liver function tests</w:t>
      </w:r>
      <w:r w:rsidR="00EA795D" w:rsidRPr="00F115D9">
        <w:rPr>
          <w:rFonts w:ascii="Times New Roman" w:hAnsi="Times New Roman" w:cs="Times New Roman"/>
        </w:rPr>
        <w:t>,</w:t>
      </w:r>
      <w:r w:rsidR="00E257DC" w:rsidRPr="00F115D9">
        <w:rPr>
          <w:rFonts w:ascii="Times New Roman" w:hAnsi="Times New Roman" w:cs="Times New Roman"/>
        </w:rPr>
        <w:t xml:space="preserve"> asthenia. </w:t>
      </w:r>
      <w:r w:rsidR="00E257DC" w:rsidRPr="00F115D9">
        <w:rPr>
          <w:rFonts w:ascii="Times New Roman" w:hAnsi="Times New Roman" w:cs="Times New Roman"/>
          <w:i/>
        </w:rPr>
        <w:t>Common</w:t>
      </w:r>
      <w:r w:rsidR="00EA795D" w:rsidRPr="00F115D9">
        <w:rPr>
          <w:rFonts w:ascii="Times New Roman" w:hAnsi="Times New Roman" w:cs="Times New Roman"/>
          <w:i/>
        </w:rPr>
        <w:t xml:space="preserve"> (</w:t>
      </w:r>
      <w:r w:rsidR="00EA795D" w:rsidRPr="00F115D9">
        <w:rPr>
          <w:rFonts w:ascii="Times New Roman" w:hAnsi="Times New Roman" w:cs="Times New Roman"/>
          <w:i/>
          <w:u w:val="single"/>
        </w:rPr>
        <w:t>&gt;</w:t>
      </w:r>
      <w:r w:rsidR="00EA795D" w:rsidRPr="00F115D9">
        <w:rPr>
          <w:rFonts w:ascii="Times New Roman" w:hAnsi="Times New Roman" w:cs="Times New Roman"/>
          <w:i/>
        </w:rPr>
        <w:t xml:space="preserve"> 1/100 to &lt; 1/10)</w:t>
      </w:r>
      <w:r w:rsidR="00E257DC" w:rsidRPr="00F115D9">
        <w:rPr>
          <w:rFonts w:ascii="Times New Roman" w:hAnsi="Times New Roman" w:cs="Times New Roman"/>
        </w:rPr>
        <w:t>: headache, dizziness, oral paraesthesia</w:t>
      </w:r>
      <w:r w:rsidR="00EA795D" w:rsidRPr="00F115D9">
        <w:rPr>
          <w:rFonts w:ascii="Times New Roman" w:hAnsi="Times New Roman" w:cs="Times New Roman"/>
        </w:rPr>
        <w:t xml:space="preserve">, </w:t>
      </w:r>
      <w:r w:rsidR="00E257DC" w:rsidRPr="00F115D9">
        <w:rPr>
          <w:rFonts w:ascii="Times New Roman" w:hAnsi="Times New Roman" w:cs="Times New Roman"/>
        </w:rPr>
        <w:t>somnolence</w:t>
      </w:r>
      <w:r w:rsidR="00EA795D" w:rsidRPr="00F115D9">
        <w:rPr>
          <w:rFonts w:ascii="Times New Roman" w:hAnsi="Times New Roman" w:cs="Times New Roman"/>
        </w:rPr>
        <w:t>,</w:t>
      </w:r>
      <w:r w:rsidR="00E257DC" w:rsidRPr="00F115D9">
        <w:rPr>
          <w:rFonts w:ascii="Times New Roman" w:hAnsi="Times New Roman" w:cs="Times New Roman"/>
        </w:rPr>
        <w:t xml:space="preserve"> tachycardia</w:t>
      </w:r>
      <w:r w:rsidR="00EA795D" w:rsidRPr="00F115D9">
        <w:rPr>
          <w:rFonts w:ascii="Times New Roman" w:hAnsi="Times New Roman" w:cs="Times New Roman"/>
        </w:rPr>
        <w:t>,</w:t>
      </w:r>
      <w:r w:rsidR="00E257DC" w:rsidRPr="00F115D9">
        <w:rPr>
          <w:rFonts w:ascii="Times New Roman" w:hAnsi="Times New Roman" w:cs="Times New Roman"/>
        </w:rPr>
        <w:t xml:space="preserve"> diarrhoea, abdominal pain, vomiting</w:t>
      </w:r>
      <w:r w:rsidR="00EA795D" w:rsidRPr="00F115D9">
        <w:rPr>
          <w:rFonts w:ascii="Times New Roman" w:hAnsi="Times New Roman" w:cs="Times New Roman"/>
        </w:rPr>
        <w:t>,</w:t>
      </w:r>
      <w:r w:rsidR="00E257DC" w:rsidRPr="00F115D9">
        <w:rPr>
          <w:rFonts w:ascii="Times New Roman" w:hAnsi="Times New Roman" w:cs="Times New Roman"/>
        </w:rPr>
        <w:t xml:space="preserve"> pain. </w:t>
      </w:r>
      <w:r w:rsidR="00E257DC" w:rsidRPr="00F115D9">
        <w:rPr>
          <w:rFonts w:ascii="Times New Roman" w:hAnsi="Times New Roman" w:cs="Times New Roman"/>
          <w:i/>
        </w:rPr>
        <w:t>Uncommon</w:t>
      </w:r>
      <w:r w:rsidR="00EA795D" w:rsidRPr="00F115D9">
        <w:rPr>
          <w:rFonts w:ascii="Times New Roman" w:hAnsi="Times New Roman" w:cs="Times New Roman"/>
          <w:i/>
        </w:rPr>
        <w:t xml:space="preserve"> (</w:t>
      </w:r>
      <w:r w:rsidR="00EA795D" w:rsidRPr="00F115D9">
        <w:rPr>
          <w:rFonts w:ascii="Times New Roman" w:hAnsi="Times New Roman" w:cs="Times New Roman"/>
          <w:i/>
          <w:u w:val="single"/>
        </w:rPr>
        <w:t>&gt;</w:t>
      </w:r>
      <w:r w:rsidR="00EA795D" w:rsidRPr="00F115D9">
        <w:rPr>
          <w:rFonts w:ascii="Times New Roman" w:hAnsi="Times New Roman" w:cs="Times New Roman"/>
          <w:i/>
        </w:rPr>
        <w:t xml:space="preserve"> 1/1000 to &lt;1/100)</w:t>
      </w:r>
      <w:r w:rsidR="00E257DC" w:rsidRPr="00F115D9">
        <w:rPr>
          <w:rFonts w:ascii="Times New Roman" w:hAnsi="Times New Roman" w:cs="Times New Roman"/>
        </w:rPr>
        <w:t>: anaemia</w:t>
      </w:r>
      <w:r w:rsidR="00EA795D" w:rsidRPr="00F115D9">
        <w:rPr>
          <w:rFonts w:ascii="Times New Roman" w:hAnsi="Times New Roman" w:cs="Times New Roman"/>
        </w:rPr>
        <w:t xml:space="preserve">, </w:t>
      </w:r>
      <w:r w:rsidR="00E257DC" w:rsidRPr="00F115D9">
        <w:rPr>
          <w:rFonts w:ascii="Times New Roman" w:hAnsi="Times New Roman" w:cs="Times New Roman"/>
        </w:rPr>
        <w:t>anaphylactoid reaction, angioedema</w:t>
      </w:r>
      <w:r w:rsidR="00EA795D" w:rsidRPr="00F115D9">
        <w:rPr>
          <w:rFonts w:ascii="Times New Roman" w:hAnsi="Times New Roman" w:cs="Times New Roman"/>
        </w:rPr>
        <w:t>,</w:t>
      </w:r>
      <w:r w:rsidR="00E257DC" w:rsidRPr="00F115D9">
        <w:rPr>
          <w:rFonts w:ascii="Times New Roman" w:hAnsi="Times New Roman" w:cs="Times New Roman"/>
        </w:rPr>
        <w:t xml:space="preserve"> interstitial lung disease</w:t>
      </w:r>
      <w:r w:rsidR="00EA795D" w:rsidRPr="00F115D9">
        <w:rPr>
          <w:rFonts w:ascii="Times New Roman" w:hAnsi="Times New Roman" w:cs="Times New Roman"/>
        </w:rPr>
        <w:t>,</w:t>
      </w:r>
      <w:r w:rsidR="00E257DC" w:rsidRPr="00F115D9">
        <w:rPr>
          <w:rFonts w:ascii="Times New Roman" w:hAnsi="Times New Roman" w:cs="Times New Roman"/>
        </w:rPr>
        <w:t xml:space="preserve"> pancreatitis. </w:t>
      </w:r>
      <w:r w:rsidR="00E257DC" w:rsidRPr="00F115D9">
        <w:rPr>
          <w:rFonts w:ascii="Times New Roman" w:hAnsi="Times New Roman" w:cs="Times New Roman"/>
          <w:i/>
        </w:rPr>
        <w:t xml:space="preserve">Not </w:t>
      </w:r>
      <w:proofErr w:type="gramStart"/>
      <w:r w:rsidR="00E257DC" w:rsidRPr="00F115D9">
        <w:rPr>
          <w:rFonts w:ascii="Times New Roman" w:hAnsi="Times New Roman" w:cs="Times New Roman"/>
          <w:i/>
        </w:rPr>
        <w:t>known</w:t>
      </w:r>
      <w:r w:rsidR="00E257DC" w:rsidRPr="00F115D9">
        <w:rPr>
          <w:rFonts w:ascii="Times New Roman" w:hAnsi="Times New Roman" w:cs="Times New Roman"/>
        </w:rPr>
        <w:t>:</w:t>
      </w:r>
      <w:proofErr w:type="gramEnd"/>
      <w:r w:rsidR="00E257DC" w:rsidRPr="00F115D9">
        <w:rPr>
          <w:rFonts w:ascii="Times New Roman" w:hAnsi="Times New Roman" w:cs="Times New Roman"/>
        </w:rPr>
        <w:t xml:space="preserve"> severe neutropenia</w:t>
      </w:r>
      <w:r w:rsidR="00EA795D" w:rsidRPr="00F115D9">
        <w:rPr>
          <w:rFonts w:ascii="Times New Roman" w:hAnsi="Times New Roman" w:cs="Times New Roman"/>
        </w:rPr>
        <w:t>,</w:t>
      </w:r>
      <w:r w:rsidR="00E257DC" w:rsidRPr="00F115D9">
        <w:rPr>
          <w:rFonts w:ascii="Times New Roman" w:hAnsi="Times New Roman" w:cs="Times New Roman"/>
        </w:rPr>
        <w:t xml:space="preserve"> hepatitis. </w:t>
      </w:r>
      <w:r w:rsidR="00EA795D" w:rsidRPr="00F115D9">
        <w:rPr>
          <w:rFonts w:ascii="Times New Roman" w:hAnsi="Times New Roman" w:cs="Times New Roman"/>
          <w:i/>
          <w:color w:val="000000"/>
          <w:lang w:val="en"/>
        </w:rPr>
        <w:t>Further information on h</w:t>
      </w:r>
      <w:r w:rsidR="00646F0A" w:rsidRPr="00F115D9">
        <w:rPr>
          <w:rFonts w:ascii="Times New Roman" w:hAnsi="Times New Roman" w:cs="Times New Roman"/>
          <w:i/>
          <w:iCs/>
          <w:color w:val="000000"/>
          <w:lang w:val="en"/>
        </w:rPr>
        <w:t>epato-biliary disorders</w:t>
      </w:r>
      <w:r w:rsidR="00646F0A" w:rsidRPr="00F115D9">
        <w:rPr>
          <w:rFonts w:ascii="Times New Roman" w:hAnsi="Times New Roman" w:cs="Times New Roman"/>
          <w:color w:val="000000"/>
          <w:lang w:val="en"/>
        </w:rPr>
        <w:t>:</w:t>
      </w:r>
      <w:r w:rsidR="00396F6D" w:rsidRPr="00F115D9">
        <w:rPr>
          <w:rFonts w:ascii="Times New Roman" w:hAnsi="Times New Roman" w:cs="Times New Roman"/>
          <w:color w:val="000000"/>
          <w:lang w:val="en"/>
        </w:rPr>
        <w:t xml:space="preserve"> </w:t>
      </w:r>
      <w:r w:rsidR="00646F0A" w:rsidRPr="00F115D9">
        <w:rPr>
          <w:rFonts w:ascii="Times New Roman" w:hAnsi="Times New Roman" w:cs="Times New Roman"/>
          <w:color w:val="000000"/>
          <w:lang w:val="en"/>
        </w:rPr>
        <w:t xml:space="preserve">Increased </w:t>
      </w:r>
      <w:r w:rsidR="00396F6D" w:rsidRPr="00F115D9">
        <w:rPr>
          <w:rFonts w:ascii="Times New Roman" w:hAnsi="Times New Roman" w:cs="Times New Roman"/>
          <w:color w:val="000000"/>
          <w:lang w:val="en"/>
        </w:rPr>
        <w:t>ALT</w:t>
      </w:r>
      <w:r w:rsidR="00646F0A" w:rsidRPr="00F115D9">
        <w:rPr>
          <w:rFonts w:ascii="Times New Roman" w:hAnsi="Times New Roman" w:cs="Times New Roman"/>
          <w:color w:val="000000"/>
          <w:lang w:val="en"/>
        </w:rPr>
        <w:t xml:space="preserve"> usually appeared within 3 months after the start of therapy </w:t>
      </w:r>
      <w:r w:rsidR="00396F6D" w:rsidRPr="00F115D9">
        <w:rPr>
          <w:rFonts w:ascii="Times New Roman" w:hAnsi="Times New Roman" w:cs="Times New Roman"/>
          <w:color w:val="000000"/>
          <w:lang w:val="en"/>
        </w:rPr>
        <w:t xml:space="preserve">and </w:t>
      </w:r>
      <w:r w:rsidR="00646F0A" w:rsidRPr="00F115D9">
        <w:rPr>
          <w:rFonts w:ascii="Times New Roman" w:hAnsi="Times New Roman" w:cs="Times New Roman"/>
          <w:color w:val="000000"/>
          <w:lang w:val="en"/>
        </w:rPr>
        <w:t>were usually transient</w:t>
      </w:r>
      <w:r w:rsidR="00396F6D" w:rsidRPr="00F115D9">
        <w:rPr>
          <w:rFonts w:ascii="Times New Roman" w:hAnsi="Times New Roman" w:cs="Times New Roman"/>
          <w:color w:val="000000"/>
          <w:lang w:val="en"/>
        </w:rPr>
        <w:t xml:space="preserve">.  These </w:t>
      </w:r>
      <w:r w:rsidR="00646F0A" w:rsidRPr="00F115D9">
        <w:rPr>
          <w:rFonts w:ascii="Times New Roman" w:hAnsi="Times New Roman" w:cs="Times New Roman"/>
          <w:color w:val="000000"/>
          <w:lang w:val="en"/>
        </w:rPr>
        <w:t xml:space="preserve">levels returned to below twice the ULN after 2 to 6 months while treatment was continued. These increases could be associated with jaundice. </w:t>
      </w:r>
      <w:r w:rsidR="0065383B">
        <w:rPr>
          <w:rFonts w:ascii="Times New Roman" w:hAnsi="Times New Roman" w:cs="Times New Roman"/>
          <w:color w:val="000000"/>
          <w:lang w:val="en"/>
        </w:rPr>
        <w:t xml:space="preserve">In patients (n=20) from clinical studies with increases in ALT to more than 5 times the ULN, treatment was </w:t>
      </w:r>
      <w:proofErr w:type="gramStart"/>
      <w:r w:rsidR="0065383B">
        <w:rPr>
          <w:rFonts w:ascii="Times New Roman" w:hAnsi="Times New Roman" w:cs="Times New Roman"/>
          <w:color w:val="000000"/>
          <w:lang w:val="en"/>
        </w:rPr>
        <w:t>discontinued</w:t>
      </w:r>
      <w:proofErr w:type="gramEnd"/>
      <w:r w:rsidR="0065383B">
        <w:rPr>
          <w:rFonts w:ascii="Times New Roman" w:hAnsi="Times New Roman" w:cs="Times New Roman"/>
          <w:color w:val="000000"/>
          <w:lang w:val="en"/>
        </w:rPr>
        <w:t xml:space="preserve"> and the levels </w:t>
      </w:r>
      <w:r w:rsidR="0065383B" w:rsidRPr="00F115D9">
        <w:rPr>
          <w:rFonts w:ascii="Times New Roman" w:hAnsi="Times New Roman" w:cs="Times New Roman"/>
        </w:rPr>
        <w:t>returned to less than 2 times the ULN within 2 to 4 months</w:t>
      </w:r>
      <w:r w:rsidR="0065383B">
        <w:rPr>
          <w:rFonts w:ascii="Times New Roman" w:hAnsi="Times New Roman" w:cs="Times New Roman"/>
        </w:rPr>
        <w:t xml:space="preserve"> in most cases</w:t>
      </w:r>
      <w:r w:rsidR="0065383B" w:rsidRPr="00F115D9">
        <w:rPr>
          <w:rFonts w:ascii="Times New Roman" w:hAnsi="Times New Roman" w:cs="Times New Roman"/>
        </w:rPr>
        <w:t xml:space="preserve">. </w:t>
      </w:r>
      <w:r w:rsidR="00646F0A" w:rsidRPr="00F115D9">
        <w:rPr>
          <w:rFonts w:ascii="Times New Roman" w:hAnsi="Times New Roman" w:cs="Times New Roman"/>
          <w:color w:val="000000"/>
          <w:lang w:val="en"/>
        </w:rPr>
        <w:t>Study data indicate that Asian</w:t>
      </w:r>
      <w:r w:rsidR="00195AD4" w:rsidRPr="00F115D9">
        <w:rPr>
          <w:rFonts w:ascii="Times New Roman" w:hAnsi="Times New Roman" w:cs="Times New Roman"/>
          <w:color w:val="000000"/>
          <w:lang w:val="en"/>
        </w:rPr>
        <w:t>s</w:t>
      </w:r>
      <w:r w:rsidR="00646F0A" w:rsidRPr="00F115D9">
        <w:rPr>
          <w:rFonts w:ascii="Times New Roman" w:hAnsi="Times New Roman" w:cs="Times New Roman"/>
          <w:color w:val="000000"/>
          <w:lang w:val="en"/>
        </w:rPr>
        <w:t xml:space="preserve"> may be more susceptible to l</w:t>
      </w:r>
      <w:r w:rsidR="00F03815" w:rsidRPr="00F115D9">
        <w:rPr>
          <w:rFonts w:ascii="Times New Roman" w:hAnsi="Times New Roman" w:cs="Times New Roman"/>
          <w:color w:val="000000"/>
          <w:lang w:val="en"/>
        </w:rPr>
        <w:t>iver function test abnormalities</w:t>
      </w:r>
      <w:r w:rsidR="00396F6D" w:rsidRPr="00F115D9">
        <w:rPr>
          <w:rFonts w:ascii="Times New Roman" w:hAnsi="Times New Roman" w:cs="Times New Roman"/>
          <w:color w:val="000000"/>
          <w:lang w:val="en"/>
        </w:rPr>
        <w:t xml:space="preserve"> compared with Caucasian</w:t>
      </w:r>
      <w:r w:rsidR="00AE0F4B" w:rsidRPr="00F115D9">
        <w:rPr>
          <w:rFonts w:ascii="Times New Roman" w:hAnsi="Times New Roman" w:cs="Times New Roman"/>
          <w:color w:val="000000"/>
          <w:lang w:val="en"/>
        </w:rPr>
        <w:t>s</w:t>
      </w:r>
      <w:r w:rsidR="00396F6D" w:rsidRPr="00F115D9">
        <w:rPr>
          <w:rFonts w:ascii="Times New Roman" w:hAnsi="Times New Roman" w:cs="Times New Roman"/>
          <w:color w:val="000000"/>
          <w:lang w:val="en"/>
        </w:rPr>
        <w:t>.</w:t>
      </w:r>
      <w:r w:rsidR="00C616F0" w:rsidRPr="00F115D9">
        <w:rPr>
          <w:rFonts w:ascii="Times New Roman" w:hAnsi="Times New Roman" w:cs="Times New Roman"/>
          <w:color w:val="000000"/>
          <w:lang w:val="en"/>
        </w:rPr>
        <w:t xml:space="preserve"> </w:t>
      </w:r>
      <w:r w:rsidR="00396F6D" w:rsidRPr="00F115D9">
        <w:rPr>
          <w:rFonts w:ascii="Times New Roman" w:hAnsi="Times New Roman" w:cs="Times New Roman"/>
          <w:color w:val="000000"/>
          <w:lang w:val="en"/>
        </w:rPr>
        <w:t xml:space="preserve">Also note that compared with </w:t>
      </w:r>
      <w:proofErr w:type="spellStart"/>
      <w:r w:rsidR="00396F6D" w:rsidRPr="00F115D9">
        <w:rPr>
          <w:rFonts w:ascii="Times New Roman" w:hAnsi="Times New Roman" w:cs="Times New Roman"/>
          <w:color w:val="000000"/>
          <w:lang w:val="en"/>
        </w:rPr>
        <w:t>riluzole</w:t>
      </w:r>
      <w:proofErr w:type="spellEnd"/>
      <w:r w:rsidR="00396F6D" w:rsidRPr="00F115D9">
        <w:rPr>
          <w:rFonts w:ascii="Times New Roman" w:hAnsi="Times New Roman" w:cs="Times New Roman"/>
          <w:color w:val="000000"/>
          <w:lang w:val="en"/>
        </w:rPr>
        <w:t xml:space="preserve"> tablets, the </w:t>
      </w:r>
      <w:proofErr w:type="spellStart"/>
      <w:r w:rsidR="00D233CE" w:rsidRPr="00F115D9">
        <w:rPr>
          <w:rFonts w:ascii="Times New Roman" w:hAnsi="Times New Roman" w:cs="Times New Roman"/>
        </w:rPr>
        <w:t>C</w:t>
      </w:r>
      <w:r w:rsidR="00D233CE" w:rsidRPr="00F115D9">
        <w:rPr>
          <w:rFonts w:ascii="Times New Roman" w:hAnsi="Times New Roman" w:cs="Times New Roman"/>
          <w:vertAlign w:val="subscript"/>
        </w:rPr>
        <w:t>max</w:t>
      </w:r>
      <w:proofErr w:type="spellEnd"/>
      <w:r w:rsidR="00D233CE" w:rsidRPr="00F115D9">
        <w:rPr>
          <w:rFonts w:ascii="Times New Roman" w:hAnsi="Times New Roman" w:cs="Times New Roman"/>
        </w:rPr>
        <w:t xml:space="preserve"> of </w:t>
      </w:r>
      <w:proofErr w:type="spellStart"/>
      <w:r w:rsidR="00D233CE" w:rsidRPr="00F115D9">
        <w:rPr>
          <w:rFonts w:ascii="Times New Roman" w:hAnsi="Times New Roman" w:cs="Times New Roman"/>
        </w:rPr>
        <w:t>riluzole</w:t>
      </w:r>
      <w:proofErr w:type="spellEnd"/>
      <w:r w:rsidR="00D233CE" w:rsidRPr="00F115D9">
        <w:rPr>
          <w:rFonts w:ascii="Times New Roman" w:hAnsi="Times New Roman" w:cs="Times New Roman"/>
        </w:rPr>
        <w:t xml:space="preserve"> oral suspension was approximately 20% higher. A slightly higher risk of the adverse events considered related to either dose or exposure of </w:t>
      </w:r>
      <w:proofErr w:type="spellStart"/>
      <w:r w:rsidR="00D233CE" w:rsidRPr="00F115D9">
        <w:rPr>
          <w:rFonts w:ascii="Times New Roman" w:hAnsi="Times New Roman" w:cs="Times New Roman"/>
        </w:rPr>
        <w:t>riluzole</w:t>
      </w:r>
      <w:proofErr w:type="spellEnd"/>
      <w:r w:rsidR="00D233CE" w:rsidRPr="00F115D9">
        <w:rPr>
          <w:rFonts w:ascii="Times New Roman" w:hAnsi="Times New Roman" w:cs="Times New Roman"/>
        </w:rPr>
        <w:t xml:space="preserve"> </w:t>
      </w:r>
      <w:r w:rsidR="00D233CE" w:rsidRPr="00F115D9">
        <w:rPr>
          <w:rFonts w:ascii="Times New Roman" w:hAnsi="Times New Roman" w:cs="Times New Roman"/>
        </w:rPr>
        <w:lastRenderedPageBreak/>
        <w:t xml:space="preserve">(e.g. dizziness, diarrhoea, asthenia and ALT increase) cannot be excluded. </w:t>
      </w:r>
      <w:r w:rsidR="00F532FE" w:rsidRPr="00F115D9">
        <w:rPr>
          <w:rFonts w:ascii="Times New Roman" w:hAnsi="Times New Roman" w:cs="Times New Roman"/>
          <w:color w:val="000000" w:themeColor="text1"/>
        </w:rPr>
        <w:t xml:space="preserve">See </w:t>
      </w:r>
      <w:r w:rsidR="000D4914" w:rsidRPr="00F115D9">
        <w:rPr>
          <w:rFonts w:ascii="Times New Roman" w:hAnsi="Times New Roman" w:cs="Times New Roman"/>
          <w:color w:val="000000" w:themeColor="text1"/>
        </w:rPr>
        <w:t>SPC for further information</w:t>
      </w:r>
      <w:r w:rsidR="00396F6D" w:rsidRPr="00F115D9">
        <w:rPr>
          <w:rFonts w:ascii="Times New Roman" w:hAnsi="Times New Roman" w:cs="Times New Roman"/>
          <w:color w:val="000000" w:themeColor="text1"/>
        </w:rPr>
        <w:t xml:space="preserve"> on side effects</w:t>
      </w:r>
      <w:r w:rsidR="000D4914" w:rsidRPr="00F115D9">
        <w:rPr>
          <w:rFonts w:ascii="Times New Roman" w:hAnsi="Times New Roman" w:cs="Times New Roman"/>
          <w:color w:val="000000" w:themeColor="text1"/>
        </w:rPr>
        <w:t xml:space="preserve">. </w:t>
      </w:r>
      <w:r w:rsidR="00F532FE" w:rsidRPr="00F115D9">
        <w:rPr>
          <w:rFonts w:ascii="Times New Roman" w:hAnsi="Times New Roman" w:cs="Times New Roman"/>
          <w:b/>
          <w:color w:val="000000" w:themeColor="text1"/>
        </w:rPr>
        <w:t>Overdose:</w:t>
      </w:r>
      <w:r w:rsidR="00F532FE" w:rsidRPr="00F115D9">
        <w:rPr>
          <w:rFonts w:ascii="Times New Roman" w:hAnsi="Times New Roman" w:cs="Times New Roman"/>
          <w:color w:val="000000" w:themeColor="text1"/>
        </w:rPr>
        <w:t xml:space="preserve"> Treatment is symptomatic and supportive. </w:t>
      </w:r>
      <w:r w:rsidR="00396F6D" w:rsidRPr="00F115D9">
        <w:rPr>
          <w:rFonts w:ascii="Times New Roman" w:hAnsi="Times New Roman" w:cs="Times New Roman"/>
          <w:b/>
          <w:color w:val="000000" w:themeColor="text1"/>
        </w:rPr>
        <w:t>Marketing authorisation number and Basic NHS Price</w:t>
      </w:r>
      <w:r w:rsidR="006D3D9B" w:rsidRPr="00F115D9">
        <w:rPr>
          <w:rFonts w:ascii="Times New Roman" w:hAnsi="Times New Roman" w:cs="Times New Roman"/>
          <w:b/>
          <w:color w:val="000000" w:themeColor="text1"/>
        </w:rPr>
        <w:t>:</w:t>
      </w:r>
      <w:r w:rsidR="00D233CE" w:rsidRPr="00F115D9">
        <w:rPr>
          <w:rFonts w:ascii="Times New Roman" w:hAnsi="Times New Roman" w:cs="Times New Roman"/>
        </w:rPr>
        <w:t xml:space="preserve"> </w:t>
      </w:r>
      <w:r w:rsidR="008E7B9E" w:rsidRPr="00F115D9">
        <w:rPr>
          <w:rFonts w:ascii="Times New Roman" w:hAnsi="Times New Roman" w:cs="Times New Roman"/>
        </w:rPr>
        <w:t>PL 20663/0002</w:t>
      </w:r>
      <w:r w:rsidR="004B5F74" w:rsidRPr="00F115D9">
        <w:rPr>
          <w:rFonts w:ascii="Times New Roman" w:hAnsi="Times New Roman" w:cs="Times New Roman"/>
        </w:rPr>
        <w:t xml:space="preserve">.  One bottle of 300ml </w:t>
      </w:r>
      <w:proofErr w:type="spellStart"/>
      <w:r w:rsidR="004B5F74" w:rsidRPr="00F115D9">
        <w:rPr>
          <w:rFonts w:ascii="Times New Roman" w:hAnsi="Times New Roman" w:cs="Times New Roman"/>
        </w:rPr>
        <w:t>T</w:t>
      </w:r>
      <w:r w:rsidR="00446B33" w:rsidRPr="00F115D9">
        <w:rPr>
          <w:rFonts w:ascii="Times New Roman" w:hAnsi="Times New Roman" w:cs="Times New Roman"/>
        </w:rPr>
        <w:t>eglutik</w:t>
      </w:r>
      <w:proofErr w:type="spellEnd"/>
      <w:r w:rsidR="004B5F74" w:rsidRPr="00F115D9">
        <w:rPr>
          <w:rFonts w:ascii="Times New Roman" w:hAnsi="Times New Roman" w:cs="Times New Roman"/>
        </w:rPr>
        <w:t xml:space="preserve"> 5mg/ml Oral Suspension £100</w:t>
      </w:r>
      <w:r w:rsidR="005B645C">
        <w:rPr>
          <w:rFonts w:ascii="Times New Roman" w:hAnsi="Times New Roman" w:cs="Times New Roman"/>
        </w:rPr>
        <w:t>.00</w:t>
      </w:r>
      <w:r w:rsidR="008E7B9E" w:rsidRPr="00F115D9">
        <w:rPr>
          <w:rFonts w:ascii="Times New Roman" w:hAnsi="Times New Roman" w:cs="Times New Roman"/>
        </w:rPr>
        <w:t>.</w:t>
      </w:r>
      <w:r w:rsidR="00686EBA" w:rsidRPr="00F115D9">
        <w:rPr>
          <w:rFonts w:ascii="Times New Roman" w:hAnsi="Times New Roman" w:cs="Times New Roman"/>
          <w:color w:val="000000" w:themeColor="text1"/>
        </w:rPr>
        <w:t xml:space="preserve"> </w:t>
      </w:r>
      <w:r w:rsidR="004B5F74" w:rsidRPr="00F115D9">
        <w:rPr>
          <w:rFonts w:ascii="Times New Roman" w:hAnsi="Times New Roman" w:cs="Times New Roman"/>
          <w:b/>
          <w:color w:val="000000" w:themeColor="text1"/>
        </w:rPr>
        <w:t>Marketing Authorisation</w:t>
      </w:r>
      <w:r w:rsidR="006D3D9B" w:rsidRPr="00F115D9">
        <w:rPr>
          <w:rFonts w:ascii="Times New Roman" w:hAnsi="Times New Roman" w:cs="Times New Roman"/>
          <w:b/>
          <w:color w:val="000000" w:themeColor="text1"/>
        </w:rPr>
        <w:t xml:space="preserve"> Holder:</w:t>
      </w:r>
      <w:r w:rsidR="006D3D9B" w:rsidRPr="00F115D9">
        <w:rPr>
          <w:rFonts w:ascii="Times New Roman" w:hAnsi="Times New Roman" w:cs="Times New Roman"/>
          <w:color w:val="000000" w:themeColor="text1"/>
        </w:rPr>
        <w:t xml:space="preserve"> </w:t>
      </w:r>
      <w:proofErr w:type="spellStart"/>
      <w:r w:rsidR="008E7B9E" w:rsidRPr="00F115D9">
        <w:rPr>
          <w:rFonts w:ascii="Times New Roman" w:hAnsi="Times New Roman" w:cs="Times New Roman"/>
          <w:bCs/>
          <w:lang w:val="es-ES_tradnl" w:eastAsia="it-IT"/>
        </w:rPr>
        <w:t>Italfarmaco</w:t>
      </w:r>
      <w:proofErr w:type="spellEnd"/>
      <w:r w:rsidR="008E7B9E" w:rsidRPr="00F115D9">
        <w:rPr>
          <w:rFonts w:ascii="Times New Roman" w:hAnsi="Times New Roman" w:cs="Times New Roman"/>
          <w:bCs/>
          <w:lang w:val="es-ES_tradnl" w:eastAsia="it-IT"/>
        </w:rPr>
        <w:t xml:space="preserve"> S.A, C/ San Rafael, 3,</w:t>
      </w:r>
      <w:r w:rsidR="0065383B">
        <w:rPr>
          <w:rFonts w:ascii="Times New Roman" w:hAnsi="Times New Roman" w:cs="Times New Roman"/>
          <w:bCs/>
          <w:lang w:val="es-ES_tradnl" w:eastAsia="it-IT"/>
        </w:rPr>
        <w:t xml:space="preserve"> </w:t>
      </w:r>
      <w:r w:rsidR="008E7B9E" w:rsidRPr="00F115D9">
        <w:rPr>
          <w:rFonts w:ascii="Times New Roman" w:hAnsi="Times New Roman" w:cs="Times New Roman"/>
          <w:bCs/>
          <w:lang w:val="es-ES_tradnl" w:eastAsia="it-IT"/>
        </w:rPr>
        <w:t xml:space="preserve">Alcobendas, Madrid </w:t>
      </w:r>
      <w:r w:rsidR="008E7B9E" w:rsidRPr="00F115D9">
        <w:rPr>
          <w:rFonts w:ascii="Times New Roman" w:hAnsi="Times New Roman" w:cs="Times New Roman"/>
          <w:bCs/>
          <w:lang w:val="en-US" w:eastAsia="it-IT"/>
        </w:rPr>
        <w:t xml:space="preserve">28108, Spain. </w:t>
      </w:r>
      <w:r w:rsidR="006D3D9B" w:rsidRPr="00F115D9">
        <w:rPr>
          <w:rFonts w:ascii="Times New Roman" w:hAnsi="Times New Roman" w:cs="Times New Roman"/>
          <w:b/>
          <w:color w:val="000000" w:themeColor="text1"/>
        </w:rPr>
        <w:t>Legal Category:</w:t>
      </w:r>
      <w:r w:rsidR="006D3D9B" w:rsidRPr="00F115D9">
        <w:rPr>
          <w:rFonts w:ascii="Times New Roman" w:hAnsi="Times New Roman" w:cs="Times New Roman"/>
          <w:color w:val="000000" w:themeColor="text1"/>
        </w:rPr>
        <w:t xml:space="preserve"> </w:t>
      </w:r>
      <w:r w:rsidR="00B5347B" w:rsidRPr="00F115D9">
        <w:rPr>
          <w:rFonts w:ascii="Times New Roman" w:hAnsi="Times New Roman" w:cs="Times New Roman"/>
          <w:color w:val="000000" w:themeColor="text1"/>
        </w:rPr>
        <w:t>POM</w:t>
      </w:r>
      <w:r w:rsidR="00B84CE2" w:rsidRPr="00F115D9">
        <w:rPr>
          <w:rFonts w:ascii="Times New Roman" w:hAnsi="Times New Roman" w:cs="Times New Roman"/>
          <w:color w:val="000000" w:themeColor="text1"/>
        </w:rPr>
        <w:t>.</w:t>
      </w:r>
      <w:r w:rsidR="006D3D9B" w:rsidRPr="00F115D9">
        <w:rPr>
          <w:rFonts w:ascii="Times New Roman" w:hAnsi="Times New Roman" w:cs="Times New Roman"/>
          <w:color w:val="000000" w:themeColor="text1"/>
        </w:rPr>
        <w:t xml:space="preserve"> </w:t>
      </w:r>
      <w:r w:rsidR="00CF50FA" w:rsidRPr="00F115D9">
        <w:rPr>
          <w:rFonts w:ascii="Times New Roman" w:hAnsi="Times New Roman" w:cs="Times New Roman"/>
          <w:b/>
          <w:color w:val="000000" w:themeColor="text1"/>
        </w:rPr>
        <w:t>Further information</w:t>
      </w:r>
      <w:r w:rsidR="006D3D9B" w:rsidRPr="00F115D9">
        <w:rPr>
          <w:rFonts w:ascii="Times New Roman" w:hAnsi="Times New Roman" w:cs="Times New Roman"/>
          <w:b/>
          <w:color w:val="000000" w:themeColor="text1"/>
        </w:rPr>
        <w:t>:</w:t>
      </w:r>
      <w:r w:rsidR="006D3D9B" w:rsidRPr="00F115D9">
        <w:rPr>
          <w:rFonts w:ascii="Times New Roman" w:hAnsi="Times New Roman" w:cs="Times New Roman"/>
          <w:color w:val="000000" w:themeColor="text1"/>
        </w:rPr>
        <w:t xml:space="preserve"> Martindale Pharma</w:t>
      </w:r>
      <w:r w:rsidR="00D87C5F" w:rsidRPr="00F115D9">
        <w:rPr>
          <w:rFonts w:ascii="Times New Roman" w:hAnsi="Times New Roman" w:cs="Times New Roman"/>
          <w:color w:val="000000" w:themeColor="text1"/>
        </w:rPr>
        <w:t>,</w:t>
      </w:r>
      <w:r w:rsidR="006D3D9B" w:rsidRPr="00F115D9">
        <w:rPr>
          <w:rFonts w:ascii="Times New Roman" w:hAnsi="Times New Roman" w:cs="Times New Roman"/>
          <w:color w:val="000000" w:themeColor="text1"/>
        </w:rPr>
        <w:t xml:space="preserve"> Bampton Road, Romford, RM3 8UG. Tel: </w:t>
      </w:r>
      <w:r w:rsidR="0058096C" w:rsidRPr="00F115D9">
        <w:rPr>
          <w:rFonts w:ascii="Times New Roman" w:hAnsi="Times New Roman" w:cs="Times New Roman"/>
          <w:color w:val="000000" w:themeColor="text1"/>
        </w:rPr>
        <w:t>01277</w:t>
      </w:r>
      <w:r w:rsidR="004B5F74" w:rsidRPr="00F115D9">
        <w:rPr>
          <w:rFonts w:ascii="Times New Roman" w:hAnsi="Times New Roman" w:cs="Times New Roman"/>
          <w:color w:val="000000" w:themeColor="text1"/>
        </w:rPr>
        <w:t xml:space="preserve"> </w:t>
      </w:r>
      <w:r w:rsidR="0058096C" w:rsidRPr="00F115D9">
        <w:rPr>
          <w:rFonts w:ascii="Times New Roman" w:hAnsi="Times New Roman" w:cs="Times New Roman"/>
          <w:color w:val="000000" w:themeColor="text1"/>
        </w:rPr>
        <w:t>266</w:t>
      </w:r>
      <w:r w:rsidR="001665FD" w:rsidRPr="00F115D9">
        <w:rPr>
          <w:rFonts w:ascii="Times New Roman" w:hAnsi="Times New Roman" w:cs="Times New Roman"/>
          <w:color w:val="000000" w:themeColor="text1"/>
        </w:rPr>
        <w:t xml:space="preserve"> </w:t>
      </w:r>
      <w:r w:rsidR="0058096C" w:rsidRPr="00F115D9">
        <w:rPr>
          <w:rFonts w:ascii="Times New Roman" w:hAnsi="Times New Roman" w:cs="Times New Roman"/>
          <w:color w:val="000000" w:themeColor="text1"/>
        </w:rPr>
        <w:t xml:space="preserve">600. </w:t>
      </w:r>
      <w:r w:rsidR="00CF50FA" w:rsidRPr="00F115D9">
        <w:rPr>
          <w:rFonts w:ascii="Times New Roman" w:hAnsi="Times New Roman" w:cs="Times New Roman"/>
          <w:b/>
          <w:color w:val="000000" w:themeColor="text1"/>
        </w:rPr>
        <w:t>Date of Preparation:</w:t>
      </w:r>
      <w:r w:rsidR="00CF50FA" w:rsidRPr="00F115D9">
        <w:rPr>
          <w:rFonts w:ascii="Times New Roman" w:hAnsi="Times New Roman" w:cs="Times New Roman"/>
          <w:color w:val="000000" w:themeColor="text1"/>
        </w:rPr>
        <w:t xml:space="preserve"> </w:t>
      </w:r>
      <w:r w:rsidR="00697CDE" w:rsidRPr="00F115D9">
        <w:rPr>
          <w:rFonts w:ascii="Times New Roman" w:hAnsi="Times New Roman" w:cs="Times New Roman"/>
          <w:color w:val="000000" w:themeColor="text1"/>
        </w:rPr>
        <w:t>March 2020</w:t>
      </w:r>
      <w:r w:rsidR="00CF50FA" w:rsidRPr="00F115D9">
        <w:rPr>
          <w:rFonts w:ascii="Times New Roman" w:hAnsi="Times New Roman" w:cs="Times New Roman"/>
          <w:color w:val="000000" w:themeColor="text1"/>
        </w:rPr>
        <w:t>.</w:t>
      </w:r>
    </w:p>
    <w:p w14:paraId="5D6D628B" w14:textId="77777777" w:rsidR="00582291" w:rsidRPr="00F115D9" w:rsidRDefault="00582291" w:rsidP="00686EBA">
      <w:pPr>
        <w:autoSpaceDE w:val="0"/>
        <w:autoSpaceDN w:val="0"/>
        <w:adjustRightInd w:val="0"/>
        <w:spacing w:after="0" w:line="240" w:lineRule="auto"/>
        <w:jc w:val="both"/>
        <w:rPr>
          <w:rFonts w:ascii="Times New Roman" w:hAnsi="Times New Roman" w:cs="Times New Roman"/>
          <w:color w:val="000000" w:themeColor="text1"/>
        </w:rPr>
      </w:pPr>
    </w:p>
    <w:p w14:paraId="486A60D6" w14:textId="77777777" w:rsidR="00582291" w:rsidRPr="00F115D9" w:rsidRDefault="005C287E" w:rsidP="00686EBA">
      <w:pPr>
        <w:autoSpaceDE w:val="0"/>
        <w:autoSpaceDN w:val="0"/>
        <w:adjustRightInd w:val="0"/>
        <w:spacing w:after="0" w:line="240" w:lineRule="auto"/>
        <w:jc w:val="both"/>
        <w:rPr>
          <w:rFonts w:ascii="Times New Roman" w:hAnsi="Times New Roman" w:cs="Times New Roman"/>
          <w:color w:val="000000" w:themeColor="text1"/>
        </w:rPr>
      </w:pPr>
      <w:r w:rsidRPr="00F115D9">
        <w:rPr>
          <w:rFonts w:ascii="Times New Roman" w:hAnsi="Times New Roman" w:cs="Times New Roman"/>
          <w:noProof/>
          <w:color w:val="000000" w:themeColor="text1"/>
          <w:lang w:eastAsia="en-GB"/>
        </w:rPr>
        <mc:AlternateContent>
          <mc:Choice Requires="wps">
            <w:drawing>
              <wp:anchor distT="0" distB="0" distL="114300" distR="114300" simplePos="0" relativeHeight="251659264" behindDoc="0" locked="0" layoutInCell="1" allowOverlap="1" wp14:anchorId="6495726D" wp14:editId="5453B802">
                <wp:simplePos x="0" y="0"/>
                <wp:positionH relativeFrom="column">
                  <wp:align>center</wp:align>
                </wp:positionH>
                <wp:positionV relativeFrom="paragraph">
                  <wp:posOffset>0</wp:posOffset>
                </wp:positionV>
                <wp:extent cx="5669280" cy="1403985"/>
                <wp:effectExtent l="0" t="0" r="26670"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1403985"/>
                        </a:xfrm>
                        <a:prstGeom prst="rect">
                          <a:avLst/>
                        </a:prstGeom>
                        <a:solidFill>
                          <a:srgbClr val="FFFFFF"/>
                        </a:solidFill>
                        <a:ln w="9525">
                          <a:solidFill>
                            <a:srgbClr val="000000"/>
                          </a:solidFill>
                          <a:miter lim="800000"/>
                          <a:headEnd/>
                          <a:tailEnd/>
                        </a:ln>
                      </wps:spPr>
                      <wps:txbx>
                        <w:txbxContent>
                          <w:p w14:paraId="0549118F" w14:textId="77777777" w:rsidR="00AC686E" w:rsidRPr="00097E95" w:rsidRDefault="00AC686E" w:rsidP="005A1C08">
                            <w:pPr>
                              <w:autoSpaceDE w:val="0"/>
                              <w:autoSpaceDN w:val="0"/>
                              <w:adjustRightInd w:val="0"/>
                              <w:spacing w:after="0" w:line="240" w:lineRule="auto"/>
                              <w:jc w:val="center"/>
                              <w:rPr>
                                <w:rFonts w:ascii="Times New Roman" w:hAnsi="Times New Roman" w:cs="Times New Roman"/>
                              </w:rPr>
                            </w:pPr>
                            <w:r w:rsidRPr="004A05C0">
                              <w:rPr>
                                <w:rFonts w:ascii="Times New Roman" w:hAnsi="Times New Roman" w:cs="Times New Roman"/>
                              </w:rPr>
                              <w:t xml:space="preserve">Adverse events should be reported. Reporting forms and information </w:t>
                            </w:r>
                            <w:r w:rsidRPr="00097E95">
                              <w:rPr>
                                <w:rFonts w:ascii="Times New Roman" w:hAnsi="Times New Roman" w:cs="Times New Roman"/>
                              </w:rPr>
                              <w:t>can be found at</w:t>
                            </w:r>
                          </w:p>
                          <w:p w14:paraId="4F6E3098" w14:textId="5F4027C4" w:rsidR="00AC686E" w:rsidRPr="004A05C0" w:rsidRDefault="001C3FC1" w:rsidP="005A1C08">
                            <w:pPr>
                              <w:autoSpaceDE w:val="0"/>
                              <w:autoSpaceDN w:val="0"/>
                              <w:adjustRightInd w:val="0"/>
                              <w:spacing w:after="0" w:line="240" w:lineRule="auto"/>
                              <w:jc w:val="center"/>
                              <w:rPr>
                                <w:rFonts w:ascii="Times New Roman" w:hAnsi="Times New Roman" w:cs="Times New Roman"/>
                                <w:color w:val="FF0000"/>
                              </w:rPr>
                            </w:pPr>
                            <w:hyperlink r:id="rId7" w:history="1">
                              <w:r w:rsidR="00AC686E" w:rsidRPr="00097E95">
                                <w:rPr>
                                  <w:rStyle w:val="Hyperlink"/>
                                  <w:rFonts w:ascii="Times New Roman" w:hAnsi="Times New Roman" w:cs="Times New Roman"/>
                                </w:rPr>
                                <w:t>www.mhra.gov.uk/yellowcard</w:t>
                              </w:r>
                            </w:hyperlink>
                            <w:r w:rsidR="00AC686E" w:rsidRPr="00097E95">
                              <w:rPr>
                                <w:rFonts w:ascii="Times New Roman" w:hAnsi="Times New Roman" w:cs="Times New Roman"/>
                              </w:rPr>
                              <w:t>. Adverse events should also be reported to Martindale Pharma</w:t>
                            </w:r>
                            <w:r w:rsidR="00097E95" w:rsidRPr="00097E95">
                              <w:rPr>
                                <w:rFonts w:ascii="Times New Roman" w:hAnsi="Times New Roman" w:cs="Times New Roman"/>
                              </w:rPr>
                              <w:t xml:space="preserve">, an Ethypharm Group </w:t>
                            </w:r>
                            <w:r w:rsidR="00AE0F4B">
                              <w:rPr>
                                <w:rFonts w:ascii="Times New Roman" w:hAnsi="Times New Roman" w:cs="Times New Roman"/>
                              </w:rPr>
                              <w:t>Company</w:t>
                            </w:r>
                            <w:r w:rsidR="00AC686E" w:rsidRPr="00097E95">
                              <w:rPr>
                                <w:rFonts w:ascii="Times New Roman" w:hAnsi="Times New Roman" w:cs="Times New Roman"/>
                              </w:rPr>
                              <w:t>.</w:t>
                            </w:r>
                            <w:r w:rsidR="00097E95">
                              <w:rPr>
                                <w:rFonts w:ascii="Times New Roman" w:hAnsi="Times New Roman" w:cs="Times New Roman"/>
                                <w:color w:val="000000" w:themeColor="text1"/>
                              </w:rPr>
                              <w:t xml:space="preserve"> </w:t>
                            </w:r>
                            <w:r w:rsidR="00AC686E" w:rsidRPr="004A05C0">
                              <w:rPr>
                                <w:rFonts w:ascii="Times New Roman" w:hAnsi="Times New Roman" w:cs="Times New Roman"/>
                                <w:color w:val="000000" w:themeColor="text1"/>
                              </w:rPr>
                              <w:t>Tel: 01277</w:t>
                            </w:r>
                            <w:r w:rsidR="004B5F74">
                              <w:rPr>
                                <w:rFonts w:ascii="Times New Roman" w:hAnsi="Times New Roman" w:cs="Times New Roman"/>
                                <w:color w:val="000000" w:themeColor="text1"/>
                              </w:rPr>
                              <w:t xml:space="preserve"> </w:t>
                            </w:r>
                            <w:r w:rsidR="00AC686E" w:rsidRPr="004A05C0">
                              <w:rPr>
                                <w:rFonts w:ascii="Times New Roman" w:hAnsi="Times New Roman" w:cs="Times New Roman"/>
                                <w:color w:val="000000" w:themeColor="text1"/>
                              </w:rPr>
                              <w:t>266</w:t>
                            </w:r>
                            <w:r w:rsidR="001665FD">
                              <w:rPr>
                                <w:rFonts w:ascii="Times New Roman" w:hAnsi="Times New Roman" w:cs="Times New Roman"/>
                                <w:color w:val="000000" w:themeColor="text1"/>
                              </w:rPr>
                              <w:t xml:space="preserve"> </w:t>
                            </w:r>
                            <w:r w:rsidR="00AC686E" w:rsidRPr="004A05C0">
                              <w:rPr>
                                <w:rFonts w:ascii="Times New Roman" w:hAnsi="Times New Roman" w:cs="Times New Roman"/>
                                <w:color w:val="000000" w:themeColor="text1"/>
                              </w:rPr>
                              <w:t xml:space="preserve">600. e-mail: </w:t>
                            </w:r>
                            <w:hyperlink r:id="rId8" w:history="1">
                              <w:r w:rsidR="00AC686E" w:rsidRPr="00BF74EE">
                                <w:rPr>
                                  <w:rStyle w:val="Hyperlink"/>
                                  <w:rFonts w:ascii="Times New Roman" w:hAnsi="Times New Roman" w:cs="Times New Roman"/>
                                </w:rPr>
                                <w:t>drugsafety.uk@ethypharm.com</w:t>
                              </w:r>
                            </w:hyperlink>
                            <w:r w:rsidR="00AC686E">
                              <w:rPr>
                                <w:rFonts w:ascii="Times New Roman" w:hAnsi="Times New Roman" w:cs="Times New Roman"/>
                                <w:color w:val="000000" w:themeColor="text1"/>
                              </w:rPr>
                              <w:t xml:space="preserve"> </w:t>
                            </w:r>
                            <w:r w:rsidR="00AC686E" w:rsidRPr="004A05C0">
                              <w:rPr>
                                <w:rFonts w:ascii="Times New Roman" w:hAnsi="Times New Roman" w:cs="Times New Roman"/>
                                <w:color w:val="000000" w:themeColor="text1"/>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95726D" id="_x0000_t202" coordsize="21600,21600" o:spt="202" path="m,l,21600r21600,l21600,xe">
                <v:stroke joinstyle="miter"/>
                <v:path gradientshapeok="t" o:connecttype="rect"/>
              </v:shapetype>
              <v:shape id="Text Box 2" o:spid="_x0000_s1026" type="#_x0000_t202" style="position:absolute;left:0;text-align:left;margin-left:0;margin-top:0;width:446.4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">
                <v:textbox style="mso-fit-shape-to-text:t">
                  <w:txbxContent>
                    <w:p w14:paraId="0549118F" w14:textId="77777777" w:rsidR="00AC686E" w:rsidRPr="00097E95" w:rsidRDefault="00AC686E" w:rsidP="005A1C08">
                      <w:pPr>
                        <w:autoSpaceDE w:val="0"/>
                        <w:autoSpaceDN w:val="0"/>
                        <w:adjustRightInd w:val="0"/>
                        <w:spacing w:after="0" w:line="240" w:lineRule="auto"/>
                        <w:jc w:val="center"/>
                        <w:rPr>
                          <w:rFonts w:ascii="Times New Roman" w:hAnsi="Times New Roman" w:cs="Times New Roman"/>
                        </w:rPr>
                      </w:pPr>
                      <w:r w:rsidRPr="004A05C0">
                        <w:rPr>
                          <w:rFonts w:ascii="Times New Roman" w:hAnsi="Times New Roman" w:cs="Times New Roman"/>
                        </w:rPr>
                        <w:t xml:space="preserve">Adverse events should be reported. Reporting forms and information </w:t>
                      </w:r>
                      <w:r w:rsidRPr="00097E95">
                        <w:rPr>
                          <w:rFonts w:ascii="Times New Roman" w:hAnsi="Times New Roman" w:cs="Times New Roman"/>
                        </w:rPr>
                        <w:t>can be found at</w:t>
                      </w:r>
                    </w:p>
                    <w:p w14:paraId="4F6E3098" w14:textId="5F4027C4" w:rsidR="00AC686E" w:rsidRPr="004A05C0" w:rsidRDefault="001C3FC1" w:rsidP="005A1C08">
                      <w:pPr>
                        <w:autoSpaceDE w:val="0"/>
                        <w:autoSpaceDN w:val="0"/>
                        <w:adjustRightInd w:val="0"/>
                        <w:spacing w:after="0" w:line="240" w:lineRule="auto"/>
                        <w:jc w:val="center"/>
                        <w:rPr>
                          <w:rFonts w:ascii="Times New Roman" w:hAnsi="Times New Roman" w:cs="Times New Roman"/>
                          <w:color w:val="FF0000"/>
                        </w:rPr>
                      </w:pPr>
                      <w:hyperlink r:id="rId9" w:history="1">
                        <w:r w:rsidR="00AC686E" w:rsidRPr="00097E95">
                          <w:rPr>
                            <w:rStyle w:val="Hyperlink"/>
                            <w:rFonts w:ascii="Times New Roman" w:hAnsi="Times New Roman" w:cs="Times New Roman"/>
                          </w:rPr>
                          <w:t>www.mhra.gov.uk/yellowcard</w:t>
                        </w:r>
                      </w:hyperlink>
                      <w:r w:rsidR="00AC686E" w:rsidRPr="00097E95">
                        <w:rPr>
                          <w:rFonts w:ascii="Times New Roman" w:hAnsi="Times New Roman" w:cs="Times New Roman"/>
                        </w:rPr>
                        <w:t>. Adverse events should also be reported to Martindale Pharma</w:t>
                      </w:r>
                      <w:r w:rsidR="00097E95" w:rsidRPr="00097E95">
                        <w:rPr>
                          <w:rFonts w:ascii="Times New Roman" w:hAnsi="Times New Roman" w:cs="Times New Roman"/>
                        </w:rPr>
                        <w:t xml:space="preserve">, an Ethypharm Group </w:t>
                      </w:r>
                      <w:r w:rsidR="00AE0F4B">
                        <w:rPr>
                          <w:rFonts w:ascii="Times New Roman" w:hAnsi="Times New Roman" w:cs="Times New Roman"/>
                        </w:rPr>
                        <w:t>Company</w:t>
                      </w:r>
                      <w:r w:rsidR="00AC686E" w:rsidRPr="00097E95">
                        <w:rPr>
                          <w:rFonts w:ascii="Times New Roman" w:hAnsi="Times New Roman" w:cs="Times New Roman"/>
                        </w:rPr>
                        <w:t>.</w:t>
                      </w:r>
                      <w:r w:rsidR="00097E95">
                        <w:rPr>
                          <w:rFonts w:ascii="Times New Roman" w:hAnsi="Times New Roman" w:cs="Times New Roman"/>
                          <w:color w:val="000000" w:themeColor="text1"/>
                        </w:rPr>
                        <w:t xml:space="preserve"> </w:t>
                      </w:r>
                      <w:r w:rsidR="00AC686E" w:rsidRPr="004A05C0">
                        <w:rPr>
                          <w:rFonts w:ascii="Times New Roman" w:hAnsi="Times New Roman" w:cs="Times New Roman"/>
                          <w:color w:val="000000" w:themeColor="text1"/>
                        </w:rPr>
                        <w:t>Tel: 01277</w:t>
                      </w:r>
                      <w:r w:rsidR="004B5F74">
                        <w:rPr>
                          <w:rFonts w:ascii="Times New Roman" w:hAnsi="Times New Roman" w:cs="Times New Roman"/>
                          <w:color w:val="000000" w:themeColor="text1"/>
                        </w:rPr>
                        <w:t xml:space="preserve"> </w:t>
                      </w:r>
                      <w:r w:rsidR="00AC686E" w:rsidRPr="004A05C0">
                        <w:rPr>
                          <w:rFonts w:ascii="Times New Roman" w:hAnsi="Times New Roman" w:cs="Times New Roman"/>
                          <w:color w:val="000000" w:themeColor="text1"/>
                        </w:rPr>
                        <w:t>266</w:t>
                      </w:r>
                      <w:r w:rsidR="001665FD">
                        <w:rPr>
                          <w:rFonts w:ascii="Times New Roman" w:hAnsi="Times New Roman" w:cs="Times New Roman"/>
                          <w:color w:val="000000" w:themeColor="text1"/>
                        </w:rPr>
                        <w:t xml:space="preserve"> </w:t>
                      </w:r>
                      <w:r w:rsidR="00AC686E" w:rsidRPr="004A05C0">
                        <w:rPr>
                          <w:rFonts w:ascii="Times New Roman" w:hAnsi="Times New Roman" w:cs="Times New Roman"/>
                          <w:color w:val="000000" w:themeColor="text1"/>
                        </w:rPr>
                        <w:t xml:space="preserve">600. e-mail: </w:t>
                      </w:r>
                      <w:hyperlink r:id="rId10" w:history="1">
                        <w:r w:rsidR="00AC686E" w:rsidRPr="00BF74EE">
                          <w:rPr>
                            <w:rStyle w:val="Hyperlink"/>
                            <w:rFonts w:ascii="Times New Roman" w:hAnsi="Times New Roman" w:cs="Times New Roman"/>
                          </w:rPr>
                          <w:t>drugsafety.uk@ethypharm.com</w:t>
                        </w:r>
                      </w:hyperlink>
                      <w:r w:rsidR="00AC686E">
                        <w:rPr>
                          <w:rFonts w:ascii="Times New Roman" w:hAnsi="Times New Roman" w:cs="Times New Roman"/>
                          <w:color w:val="000000" w:themeColor="text1"/>
                        </w:rPr>
                        <w:t xml:space="preserve"> </w:t>
                      </w:r>
                      <w:r w:rsidR="00AC686E" w:rsidRPr="004A05C0">
                        <w:rPr>
                          <w:rFonts w:ascii="Times New Roman" w:hAnsi="Times New Roman" w:cs="Times New Roman"/>
                          <w:color w:val="000000" w:themeColor="text1"/>
                        </w:rPr>
                        <w:t xml:space="preserve"> </w:t>
                      </w:r>
                    </w:p>
                  </w:txbxContent>
                </v:textbox>
              </v:shape>
            </w:pict>
          </mc:Fallback>
        </mc:AlternateContent>
      </w:r>
    </w:p>
    <w:sectPr w:rsidR="00582291" w:rsidRPr="00F115D9" w:rsidSect="00571425">
      <w:pgSz w:w="11906" w:h="16838"/>
      <w:pgMar w:top="709" w:right="1558"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A4333" w14:textId="77777777" w:rsidR="00AC686E" w:rsidRDefault="00AC686E" w:rsidP="00B30BAB">
      <w:pPr>
        <w:spacing w:after="0" w:line="240" w:lineRule="auto"/>
      </w:pPr>
      <w:r>
        <w:separator/>
      </w:r>
    </w:p>
  </w:endnote>
  <w:endnote w:type="continuationSeparator" w:id="0">
    <w:p w14:paraId="3C15E152" w14:textId="77777777" w:rsidR="00AC686E" w:rsidRDefault="00AC686E" w:rsidP="00B30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87934" w14:textId="77777777" w:rsidR="00AC686E" w:rsidRDefault="00AC686E" w:rsidP="00B30BAB">
      <w:pPr>
        <w:spacing w:after="0" w:line="240" w:lineRule="auto"/>
      </w:pPr>
      <w:r>
        <w:separator/>
      </w:r>
    </w:p>
  </w:footnote>
  <w:footnote w:type="continuationSeparator" w:id="0">
    <w:p w14:paraId="11A7E1B0" w14:textId="77777777" w:rsidR="00AC686E" w:rsidRDefault="00AC686E" w:rsidP="00B30B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039"/>
    <w:rsid w:val="00017158"/>
    <w:rsid w:val="00024385"/>
    <w:rsid w:val="00044A43"/>
    <w:rsid w:val="00051C1D"/>
    <w:rsid w:val="00084688"/>
    <w:rsid w:val="00097E95"/>
    <w:rsid w:val="000D1C17"/>
    <w:rsid w:val="000D4914"/>
    <w:rsid w:val="000D495A"/>
    <w:rsid w:val="000F7F59"/>
    <w:rsid w:val="001010EC"/>
    <w:rsid w:val="0011320C"/>
    <w:rsid w:val="00120A83"/>
    <w:rsid w:val="00131B73"/>
    <w:rsid w:val="00145127"/>
    <w:rsid w:val="001665FD"/>
    <w:rsid w:val="001808C4"/>
    <w:rsid w:val="001874FA"/>
    <w:rsid w:val="001900C0"/>
    <w:rsid w:val="00191D27"/>
    <w:rsid w:val="00195AC0"/>
    <w:rsid w:val="00195AD4"/>
    <w:rsid w:val="001A339C"/>
    <w:rsid w:val="001B015D"/>
    <w:rsid w:val="001C3FC1"/>
    <w:rsid w:val="001D6FDF"/>
    <w:rsid w:val="001E21BD"/>
    <w:rsid w:val="001E3D52"/>
    <w:rsid w:val="002000FA"/>
    <w:rsid w:val="00221D33"/>
    <w:rsid w:val="00246BA3"/>
    <w:rsid w:val="002507B7"/>
    <w:rsid w:val="002C1A51"/>
    <w:rsid w:val="002D7EA5"/>
    <w:rsid w:val="00305039"/>
    <w:rsid w:val="00331F43"/>
    <w:rsid w:val="00335F96"/>
    <w:rsid w:val="00366F30"/>
    <w:rsid w:val="00396F6D"/>
    <w:rsid w:val="003D2548"/>
    <w:rsid w:val="0041573B"/>
    <w:rsid w:val="00421F48"/>
    <w:rsid w:val="0043624D"/>
    <w:rsid w:val="00446B33"/>
    <w:rsid w:val="00466E2E"/>
    <w:rsid w:val="00494A62"/>
    <w:rsid w:val="004A05C0"/>
    <w:rsid w:val="004B5F74"/>
    <w:rsid w:val="004C687F"/>
    <w:rsid w:val="004E51E5"/>
    <w:rsid w:val="004F1BB3"/>
    <w:rsid w:val="004F4512"/>
    <w:rsid w:val="005144ED"/>
    <w:rsid w:val="0054238A"/>
    <w:rsid w:val="00571425"/>
    <w:rsid w:val="0058096C"/>
    <w:rsid w:val="00582291"/>
    <w:rsid w:val="00583E02"/>
    <w:rsid w:val="005A1C08"/>
    <w:rsid w:val="005A7FCF"/>
    <w:rsid w:val="005B09AC"/>
    <w:rsid w:val="005B645C"/>
    <w:rsid w:val="005B7ABB"/>
    <w:rsid w:val="005C287E"/>
    <w:rsid w:val="005C5788"/>
    <w:rsid w:val="00615DC7"/>
    <w:rsid w:val="00622451"/>
    <w:rsid w:val="00624AD3"/>
    <w:rsid w:val="00646F0A"/>
    <w:rsid w:val="0065383B"/>
    <w:rsid w:val="00673176"/>
    <w:rsid w:val="00686EBA"/>
    <w:rsid w:val="00692F6B"/>
    <w:rsid w:val="00695406"/>
    <w:rsid w:val="00697CDE"/>
    <w:rsid w:val="006B3E72"/>
    <w:rsid w:val="006B6C1B"/>
    <w:rsid w:val="006D3D9B"/>
    <w:rsid w:val="006E0E83"/>
    <w:rsid w:val="006F2662"/>
    <w:rsid w:val="007157BC"/>
    <w:rsid w:val="00716D06"/>
    <w:rsid w:val="00740778"/>
    <w:rsid w:val="00761160"/>
    <w:rsid w:val="0079636E"/>
    <w:rsid w:val="007B3F23"/>
    <w:rsid w:val="007C6CA0"/>
    <w:rsid w:val="007E17E3"/>
    <w:rsid w:val="008051BE"/>
    <w:rsid w:val="0080563B"/>
    <w:rsid w:val="008462AD"/>
    <w:rsid w:val="00857264"/>
    <w:rsid w:val="008601F1"/>
    <w:rsid w:val="008E7B9E"/>
    <w:rsid w:val="00913787"/>
    <w:rsid w:val="0093023D"/>
    <w:rsid w:val="0096422E"/>
    <w:rsid w:val="009705B4"/>
    <w:rsid w:val="00973018"/>
    <w:rsid w:val="0099003E"/>
    <w:rsid w:val="009917A6"/>
    <w:rsid w:val="009B03D1"/>
    <w:rsid w:val="009B0480"/>
    <w:rsid w:val="009C07D4"/>
    <w:rsid w:val="009E76A6"/>
    <w:rsid w:val="00A0164D"/>
    <w:rsid w:val="00A52618"/>
    <w:rsid w:val="00A56C31"/>
    <w:rsid w:val="00A56E54"/>
    <w:rsid w:val="00A611E1"/>
    <w:rsid w:val="00A67D3E"/>
    <w:rsid w:val="00A824B2"/>
    <w:rsid w:val="00A82FA5"/>
    <w:rsid w:val="00AA2062"/>
    <w:rsid w:val="00AA336C"/>
    <w:rsid w:val="00AA72B4"/>
    <w:rsid w:val="00AB0927"/>
    <w:rsid w:val="00AC686E"/>
    <w:rsid w:val="00AE0F4B"/>
    <w:rsid w:val="00B2009C"/>
    <w:rsid w:val="00B30BAB"/>
    <w:rsid w:val="00B31CB5"/>
    <w:rsid w:val="00B35C0F"/>
    <w:rsid w:val="00B5347B"/>
    <w:rsid w:val="00B53FD4"/>
    <w:rsid w:val="00B65AF0"/>
    <w:rsid w:val="00B735A0"/>
    <w:rsid w:val="00B84CE2"/>
    <w:rsid w:val="00B87D83"/>
    <w:rsid w:val="00BB24C0"/>
    <w:rsid w:val="00C019EB"/>
    <w:rsid w:val="00C5221E"/>
    <w:rsid w:val="00C616F0"/>
    <w:rsid w:val="00C750C3"/>
    <w:rsid w:val="00C906B4"/>
    <w:rsid w:val="00C92475"/>
    <w:rsid w:val="00CB4723"/>
    <w:rsid w:val="00CB543E"/>
    <w:rsid w:val="00CD6CD1"/>
    <w:rsid w:val="00CE42ED"/>
    <w:rsid w:val="00CE6C06"/>
    <w:rsid w:val="00CF0B4B"/>
    <w:rsid w:val="00CF50FA"/>
    <w:rsid w:val="00D137C7"/>
    <w:rsid w:val="00D233CE"/>
    <w:rsid w:val="00D42185"/>
    <w:rsid w:val="00D46A91"/>
    <w:rsid w:val="00D67E86"/>
    <w:rsid w:val="00D87C5F"/>
    <w:rsid w:val="00E257DC"/>
    <w:rsid w:val="00E37320"/>
    <w:rsid w:val="00E425E3"/>
    <w:rsid w:val="00E60582"/>
    <w:rsid w:val="00E815BD"/>
    <w:rsid w:val="00E82A1C"/>
    <w:rsid w:val="00E83DF6"/>
    <w:rsid w:val="00E93D01"/>
    <w:rsid w:val="00E95D4B"/>
    <w:rsid w:val="00EA795D"/>
    <w:rsid w:val="00ED7E8F"/>
    <w:rsid w:val="00EF4F79"/>
    <w:rsid w:val="00F03815"/>
    <w:rsid w:val="00F115D9"/>
    <w:rsid w:val="00F34FF6"/>
    <w:rsid w:val="00F532FE"/>
    <w:rsid w:val="00F62ACD"/>
    <w:rsid w:val="00F646ED"/>
    <w:rsid w:val="00F801EA"/>
    <w:rsid w:val="00F806B9"/>
    <w:rsid w:val="00FD3BDE"/>
    <w:rsid w:val="00FF0191"/>
    <w:rsid w:val="00FF4E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C946F"/>
  <w15:docId w15:val="{24E185BC-0DF5-4E21-B86E-E87CF9E37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Indent"/>
    <w:link w:val="Heading2Char"/>
    <w:qFormat/>
    <w:rsid w:val="00B30BAB"/>
    <w:pPr>
      <w:keepNext/>
      <w:spacing w:before="240" w:after="60" w:line="240" w:lineRule="auto"/>
      <w:outlineLvl w:val="1"/>
    </w:pPr>
    <w:rPr>
      <w:rFonts w:ascii="Times New Roman" w:eastAsia="Times New Roman" w:hAnsi="Times New Roman"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28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87E"/>
    <w:rPr>
      <w:rFonts w:ascii="Tahoma" w:hAnsi="Tahoma" w:cs="Tahoma"/>
      <w:sz w:val="16"/>
      <w:szCs w:val="16"/>
    </w:rPr>
  </w:style>
  <w:style w:type="character" w:styleId="Hyperlink">
    <w:name w:val="Hyperlink"/>
    <w:basedOn w:val="DefaultParagraphFont"/>
    <w:uiPriority w:val="99"/>
    <w:unhideWhenUsed/>
    <w:rsid w:val="002507B7"/>
    <w:rPr>
      <w:color w:val="0000FF" w:themeColor="hyperlink"/>
      <w:u w:val="single"/>
    </w:rPr>
  </w:style>
  <w:style w:type="character" w:styleId="CommentReference">
    <w:name w:val="annotation reference"/>
    <w:basedOn w:val="DefaultParagraphFont"/>
    <w:uiPriority w:val="99"/>
    <w:semiHidden/>
    <w:unhideWhenUsed/>
    <w:rsid w:val="00FF4E34"/>
    <w:rPr>
      <w:sz w:val="16"/>
      <w:szCs w:val="16"/>
    </w:rPr>
  </w:style>
  <w:style w:type="paragraph" w:styleId="CommentText">
    <w:name w:val="annotation text"/>
    <w:basedOn w:val="Normal"/>
    <w:link w:val="CommentTextChar"/>
    <w:uiPriority w:val="99"/>
    <w:semiHidden/>
    <w:unhideWhenUsed/>
    <w:rsid w:val="00FF4E34"/>
    <w:pPr>
      <w:spacing w:line="240" w:lineRule="auto"/>
    </w:pPr>
    <w:rPr>
      <w:sz w:val="20"/>
      <w:szCs w:val="20"/>
    </w:rPr>
  </w:style>
  <w:style w:type="character" w:customStyle="1" w:styleId="CommentTextChar">
    <w:name w:val="Comment Text Char"/>
    <w:basedOn w:val="DefaultParagraphFont"/>
    <w:link w:val="CommentText"/>
    <w:uiPriority w:val="99"/>
    <w:semiHidden/>
    <w:rsid w:val="00FF4E34"/>
    <w:rPr>
      <w:sz w:val="20"/>
      <w:szCs w:val="20"/>
    </w:rPr>
  </w:style>
  <w:style w:type="paragraph" w:styleId="CommentSubject">
    <w:name w:val="annotation subject"/>
    <w:basedOn w:val="CommentText"/>
    <w:next w:val="CommentText"/>
    <w:link w:val="CommentSubjectChar"/>
    <w:uiPriority w:val="99"/>
    <w:semiHidden/>
    <w:unhideWhenUsed/>
    <w:rsid w:val="00FF4E34"/>
    <w:rPr>
      <w:b/>
      <w:bCs/>
    </w:rPr>
  </w:style>
  <w:style w:type="character" w:customStyle="1" w:styleId="CommentSubjectChar">
    <w:name w:val="Comment Subject Char"/>
    <w:basedOn w:val="CommentTextChar"/>
    <w:link w:val="CommentSubject"/>
    <w:uiPriority w:val="99"/>
    <w:semiHidden/>
    <w:rsid w:val="00FF4E34"/>
    <w:rPr>
      <w:b/>
      <w:bCs/>
      <w:sz w:val="20"/>
      <w:szCs w:val="20"/>
    </w:rPr>
  </w:style>
  <w:style w:type="paragraph" w:styleId="NormalIndent">
    <w:name w:val="Normal Indent"/>
    <w:basedOn w:val="Normal"/>
    <w:rsid w:val="00B30BAB"/>
    <w:pPr>
      <w:spacing w:after="120" w:line="240" w:lineRule="auto"/>
      <w:ind w:left="720"/>
    </w:pPr>
    <w:rPr>
      <w:rFonts w:ascii="Times New Roman" w:eastAsia="Times New Roman" w:hAnsi="Times New Roman" w:cs="Times New Roman"/>
      <w:szCs w:val="20"/>
      <w:lang w:eastAsia="en-GB"/>
    </w:rPr>
  </w:style>
  <w:style w:type="character" w:customStyle="1" w:styleId="Heading2Char">
    <w:name w:val="Heading 2 Char"/>
    <w:basedOn w:val="DefaultParagraphFont"/>
    <w:link w:val="Heading2"/>
    <w:rsid w:val="00B30BAB"/>
    <w:rPr>
      <w:rFonts w:ascii="Times New Roman" w:eastAsia="Times New Roman" w:hAnsi="Times New Roman" w:cs="Times New Roman"/>
      <w:b/>
      <w:sz w:val="24"/>
      <w:szCs w:val="20"/>
      <w:lang w:eastAsia="en-GB"/>
    </w:rPr>
  </w:style>
  <w:style w:type="paragraph" w:styleId="Header">
    <w:name w:val="header"/>
    <w:basedOn w:val="Normal"/>
    <w:link w:val="HeaderChar"/>
    <w:uiPriority w:val="99"/>
    <w:unhideWhenUsed/>
    <w:rsid w:val="00B30B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0BAB"/>
  </w:style>
  <w:style w:type="paragraph" w:styleId="Footer">
    <w:name w:val="footer"/>
    <w:basedOn w:val="Normal"/>
    <w:link w:val="FooterChar"/>
    <w:uiPriority w:val="99"/>
    <w:unhideWhenUsed/>
    <w:rsid w:val="00B30B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BAB"/>
  </w:style>
  <w:style w:type="table" w:styleId="TableGrid">
    <w:name w:val="Table Grid"/>
    <w:basedOn w:val="TableNormal"/>
    <w:rsid w:val="00E257D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C687F"/>
    <w:rPr>
      <w:color w:val="808080"/>
      <w:shd w:val="clear" w:color="auto" w:fill="E6E6E6"/>
    </w:rPr>
  </w:style>
  <w:style w:type="paragraph" w:styleId="NormalWeb">
    <w:name w:val="Normal (Web)"/>
    <w:basedOn w:val="Normal"/>
    <w:uiPriority w:val="99"/>
    <w:semiHidden/>
    <w:unhideWhenUsed/>
    <w:rsid w:val="00646F0A"/>
    <w:pPr>
      <w:spacing w:after="143"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D49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202235">
      <w:bodyDiv w:val="1"/>
      <w:marLeft w:val="0"/>
      <w:marRight w:val="0"/>
      <w:marTop w:val="0"/>
      <w:marBottom w:val="0"/>
      <w:divBdr>
        <w:top w:val="none" w:sz="0" w:space="0" w:color="auto"/>
        <w:left w:val="none" w:sz="0" w:space="0" w:color="auto"/>
        <w:bottom w:val="none" w:sz="0" w:space="0" w:color="auto"/>
        <w:right w:val="none" w:sz="0" w:space="0" w:color="auto"/>
      </w:divBdr>
      <w:divsChild>
        <w:div w:id="318657115">
          <w:marLeft w:val="0"/>
          <w:marRight w:val="0"/>
          <w:marTop w:val="0"/>
          <w:marBottom w:val="0"/>
          <w:divBdr>
            <w:top w:val="none" w:sz="0" w:space="0" w:color="auto"/>
            <w:left w:val="none" w:sz="0" w:space="0" w:color="auto"/>
            <w:bottom w:val="none" w:sz="0" w:space="0" w:color="auto"/>
            <w:right w:val="none" w:sz="0" w:space="0" w:color="auto"/>
          </w:divBdr>
          <w:divsChild>
            <w:div w:id="679628419">
              <w:marLeft w:val="0"/>
              <w:marRight w:val="0"/>
              <w:marTop w:val="0"/>
              <w:marBottom w:val="0"/>
              <w:divBdr>
                <w:top w:val="none" w:sz="0" w:space="0" w:color="auto"/>
                <w:left w:val="none" w:sz="0" w:space="0" w:color="auto"/>
                <w:bottom w:val="none" w:sz="0" w:space="0" w:color="auto"/>
                <w:right w:val="none" w:sz="0" w:space="0" w:color="auto"/>
              </w:divBdr>
              <w:divsChild>
                <w:div w:id="1533032223">
                  <w:marLeft w:val="0"/>
                  <w:marRight w:val="0"/>
                  <w:marTop w:val="0"/>
                  <w:marBottom w:val="0"/>
                  <w:divBdr>
                    <w:top w:val="none" w:sz="0" w:space="0" w:color="auto"/>
                    <w:left w:val="none" w:sz="0" w:space="0" w:color="auto"/>
                    <w:bottom w:val="none" w:sz="0" w:space="0" w:color="auto"/>
                    <w:right w:val="none" w:sz="0" w:space="0" w:color="auto"/>
                  </w:divBdr>
                  <w:divsChild>
                    <w:div w:id="1277831113">
                      <w:marLeft w:val="0"/>
                      <w:marRight w:val="0"/>
                      <w:marTop w:val="100"/>
                      <w:marBottom w:val="100"/>
                      <w:divBdr>
                        <w:top w:val="none" w:sz="0" w:space="0" w:color="auto"/>
                        <w:left w:val="none" w:sz="0" w:space="0" w:color="auto"/>
                        <w:bottom w:val="none" w:sz="0" w:space="0" w:color="auto"/>
                        <w:right w:val="none" w:sz="0" w:space="0" w:color="auto"/>
                      </w:divBdr>
                      <w:divsChild>
                        <w:div w:id="471019358">
                          <w:marLeft w:val="0"/>
                          <w:marRight w:val="0"/>
                          <w:marTop w:val="0"/>
                          <w:marBottom w:val="0"/>
                          <w:divBdr>
                            <w:top w:val="none" w:sz="0" w:space="0" w:color="auto"/>
                            <w:left w:val="none" w:sz="0" w:space="0" w:color="auto"/>
                            <w:bottom w:val="none" w:sz="0" w:space="0" w:color="auto"/>
                            <w:right w:val="none" w:sz="0" w:space="0" w:color="auto"/>
                          </w:divBdr>
                          <w:divsChild>
                            <w:div w:id="198787848">
                              <w:marLeft w:val="0"/>
                              <w:marRight w:val="0"/>
                              <w:marTop w:val="0"/>
                              <w:marBottom w:val="0"/>
                              <w:divBdr>
                                <w:top w:val="none" w:sz="0" w:space="0" w:color="auto"/>
                                <w:left w:val="none" w:sz="0" w:space="0" w:color="auto"/>
                                <w:bottom w:val="none" w:sz="0" w:space="0" w:color="auto"/>
                                <w:right w:val="none" w:sz="0" w:space="0" w:color="auto"/>
                              </w:divBdr>
                              <w:divsChild>
                                <w:div w:id="751970684">
                                  <w:marLeft w:val="0"/>
                                  <w:marRight w:val="0"/>
                                  <w:marTop w:val="0"/>
                                  <w:marBottom w:val="0"/>
                                  <w:divBdr>
                                    <w:top w:val="none" w:sz="0" w:space="0" w:color="auto"/>
                                    <w:left w:val="none" w:sz="0" w:space="0" w:color="auto"/>
                                    <w:bottom w:val="none" w:sz="0" w:space="0" w:color="auto"/>
                                    <w:right w:val="none" w:sz="0" w:space="0" w:color="auto"/>
                                  </w:divBdr>
                                  <w:divsChild>
                                    <w:div w:id="1061177433">
                                      <w:marLeft w:val="0"/>
                                      <w:marRight w:val="0"/>
                                      <w:marTop w:val="0"/>
                                      <w:marBottom w:val="0"/>
                                      <w:divBdr>
                                        <w:top w:val="none" w:sz="0" w:space="0" w:color="auto"/>
                                        <w:left w:val="none" w:sz="0" w:space="0" w:color="auto"/>
                                        <w:bottom w:val="none" w:sz="0" w:space="0" w:color="auto"/>
                                        <w:right w:val="none" w:sz="0" w:space="0" w:color="auto"/>
                                      </w:divBdr>
                                      <w:divsChild>
                                        <w:div w:id="62676943">
                                          <w:marLeft w:val="0"/>
                                          <w:marRight w:val="0"/>
                                          <w:marTop w:val="0"/>
                                          <w:marBottom w:val="0"/>
                                          <w:divBdr>
                                            <w:top w:val="none" w:sz="0" w:space="0" w:color="auto"/>
                                            <w:left w:val="single" w:sz="6" w:space="0" w:color="999999"/>
                                            <w:bottom w:val="none" w:sz="0" w:space="0" w:color="auto"/>
                                            <w:right w:val="none" w:sz="0" w:space="0" w:color="auto"/>
                                          </w:divBdr>
                                          <w:divsChild>
                                            <w:div w:id="616522809">
                                              <w:marLeft w:val="0"/>
                                              <w:marRight w:val="0"/>
                                              <w:marTop w:val="150"/>
                                              <w:marBottom w:val="150"/>
                                              <w:divBdr>
                                                <w:top w:val="none" w:sz="0" w:space="0" w:color="auto"/>
                                                <w:left w:val="none" w:sz="0" w:space="0" w:color="auto"/>
                                                <w:bottom w:val="none" w:sz="0" w:space="0" w:color="auto"/>
                                                <w:right w:val="none" w:sz="0" w:space="0" w:color="auto"/>
                                              </w:divBdr>
                                              <w:divsChild>
                                                <w:div w:id="733359118">
                                                  <w:marLeft w:val="0"/>
                                                  <w:marRight w:val="0"/>
                                                  <w:marTop w:val="0"/>
                                                  <w:marBottom w:val="0"/>
                                                  <w:divBdr>
                                                    <w:top w:val="none" w:sz="0" w:space="0" w:color="auto"/>
                                                    <w:left w:val="none" w:sz="0" w:space="0" w:color="auto"/>
                                                    <w:bottom w:val="none" w:sz="0" w:space="0" w:color="auto"/>
                                                    <w:right w:val="none" w:sz="0" w:space="0" w:color="auto"/>
                                                  </w:divBdr>
                                                  <w:divsChild>
                                                    <w:div w:id="137345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0375312">
      <w:bodyDiv w:val="1"/>
      <w:marLeft w:val="0"/>
      <w:marRight w:val="0"/>
      <w:marTop w:val="0"/>
      <w:marBottom w:val="0"/>
      <w:divBdr>
        <w:top w:val="none" w:sz="0" w:space="0" w:color="auto"/>
        <w:left w:val="none" w:sz="0" w:space="0" w:color="auto"/>
        <w:bottom w:val="none" w:sz="0" w:space="0" w:color="auto"/>
        <w:right w:val="none" w:sz="0" w:space="0" w:color="auto"/>
      </w:divBdr>
    </w:div>
    <w:div w:id="1324435914">
      <w:bodyDiv w:val="1"/>
      <w:marLeft w:val="0"/>
      <w:marRight w:val="0"/>
      <w:marTop w:val="0"/>
      <w:marBottom w:val="0"/>
      <w:divBdr>
        <w:top w:val="none" w:sz="0" w:space="0" w:color="auto"/>
        <w:left w:val="none" w:sz="0" w:space="0" w:color="auto"/>
        <w:bottom w:val="none" w:sz="0" w:space="0" w:color="auto"/>
        <w:right w:val="none" w:sz="0" w:space="0" w:color="auto"/>
      </w:divBdr>
      <w:divsChild>
        <w:div w:id="1837452652">
          <w:marLeft w:val="0"/>
          <w:marRight w:val="0"/>
          <w:marTop w:val="0"/>
          <w:marBottom w:val="0"/>
          <w:divBdr>
            <w:top w:val="none" w:sz="0" w:space="0" w:color="auto"/>
            <w:left w:val="none" w:sz="0" w:space="0" w:color="auto"/>
            <w:bottom w:val="none" w:sz="0" w:space="0" w:color="auto"/>
            <w:right w:val="none" w:sz="0" w:space="0" w:color="auto"/>
          </w:divBdr>
          <w:divsChild>
            <w:div w:id="521212615">
              <w:marLeft w:val="0"/>
              <w:marRight w:val="0"/>
              <w:marTop w:val="0"/>
              <w:marBottom w:val="0"/>
              <w:divBdr>
                <w:top w:val="none" w:sz="0" w:space="0" w:color="auto"/>
                <w:left w:val="none" w:sz="0" w:space="0" w:color="auto"/>
                <w:bottom w:val="none" w:sz="0" w:space="0" w:color="auto"/>
                <w:right w:val="none" w:sz="0" w:space="0" w:color="auto"/>
              </w:divBdr>
              <w:divsChild>
                <w:div w:id="958224955">
                  <w:marLeft w:val="0"/>
                  <w:marRight w:val="0"/>
                  <w:marTop w:val="0"/>
                  <w:marBottom w:val="0"/>
                  <w:divBdr>
                    <w:top w:val="none" w:sz="0" w:space="0" w:color="auto"/>
                    <w:left w:val="none" w:sz="0" w:space="0" w:color="auto"/>
                    <w:bottom w:val="none" w:sz="0" w:space="0" w:color="auto"/>
                    <w:right w:val="none" w:sz="0" w:space="0" w:color="auto"/>
                  </w:divBdr>
                  <w:divsChild>
                    <w:div w:id="1330059581">
                      <w:marLeft w:val="0"/>
                      <w:marRight w:val="0"/>
                      <w:marTop w:val="100"/>
                      <w:marBottom w:val="100"/>
                      <w:divBdr>
                        <w:top w:val="none" w:sz="0" w:space="0" w:color="auto"/>
                        <w:left w:val="none" w:sz="0" w:space="0" w:color="auto"/>
                        <w:bottom w:val="none" w:sz="0" w:space="0" w:color="auto"/>
                        <w:right w:val="none" w:sz="0" w:space="0" w:color="auto"/>
                      </w:divBdr>
                      <w:divsChild>
                        <w:div w:id="1468009915">
                          <w:marLeft w:val="0"/>
                          <w:marRight w:val="0"/>
                          <w:marTop w:val="0"/>
                          <w:marBottom w:val="0"/>
                          <w:divBdr>
                            <w:top w:val="none" w:sz="0" w:space="0" w:color="auto"/>
                            <w:left w:val="none" w:sz="0" w:space="0" w:color="auto"/>
                            <w:bottom w:val="none" w:sz="0" w:space="0" w:color="auto"/>
                            <w:right w:val="none" w:sz="0" w:space="0" w:color="auto"/>
                          </w:divBdr>
                          <w:divsChild>
                            <w:div w:id="2123835497">
                              <w:marLeft w:val="0"/>
                              <w:marRight w:val="0"/>
                              <w:marTop w:val="0"/>
                              <w:marBottom w:val="0"/>
                              <w:divBdr>
                                <w:top w:val="none" w:sz="0" w:space="0" w:color="auto"/>
                                <w:left w:val="none" w:sz="0" w:space="0" w:color="auto"/>
                                <w:bottom w:val="none" w:sz="0" w:space="0" w:color="auto"/>
                                <w:right w:val="none" w:sz="0" w:space="0" w:color="auto"/>
                              </w:divBdr>
                              <w:divsChild>
                                <w:div w:id="1790467649">
                                  <w:marLeft w:val="0"/>
                                  <w:marRight w:val="0"/>
                                  <w:marTop w:val="0"/>
                                  <w:marBottom w:val="0"/>
                                  <w:divBdr>
                                    <w:top w:val="none" w:sz="0" w:space="0" w:color="auto"/>
                                    <w:left w:val="none" w:sz="0" w:space="0" w:color="auto"/>
                                    <w:bottom w:val="none" w:sz="0" w:space="0" w:color="auto"/>
                                    <w:right w:val="none" w:sz="0" w:space="0" w:color="auto"/>
                                  </w:divBdr>
                                  <w:divsChild>
                                    <w:div w:id="500240985">
                                      <w:marLeft w:val="0"/>
                                      <w:marRight w:val="0"/>
                                      <w:marTop w:val="0"/>
                                      <w:marBottom w:val="0"/>
                                      <w:divBdr>
                                        <w:top w:val="none" w:sz="0" w:space="0" w:color="auto"/>
                                        <w:left w:val="none" w:sz="0" w:space="0" w:color="auto"/>
                                        <w:bottom w:val="none" w:sz="0" w:space="0" w:color="auto"/>
                                        <w:right w:val="none" w:sz="0" w:space="0" w:color="auto"/>
                                      </w:divBdr>
                                      <w:divsChild>
                                        <w:div w:id="920406792">
                                          <w:marLeft w:val="0"/>
                                          <w:marRight w:val="0"/>
                                          <w:marTop w:val="0"/>
                                          <w:marBottom w:val="0"/>
                                          <w:divBdr>
                                            <w:top w:val="none" w:sz="0" w:space="0" w:color="auto"/>
                                            <w:left w:val="single" w:sz="6" w:space="0" w:color="999999"/>
                                            <w:bottom w:val="none" w:sz="0" w:space="0" w:color="auto"/>
                                            <w:right w:val="none" w:sz="0" w:space="0" w:color="auto"/>
                                          </w:divBdr>
                                          <w:divsChild>
                                            <w:div w:id="1344819290">
                                              <w:marLeft w:val="0"/>
                                              <w:marRight w:val="0"/>
                                              <w:marTop w:val="150"/>
                                              <w:marBottom w:val="150"/>
                                              <w:divBdr>
                                                <w:top w:val="none" w:sz="0" w:space="0" w:color="auto"/>
                                                <w:left w:val="none" w:sz="0" w:space="0" w:color="auto"/>
                                                <w:bottom w:val="none" w:sz="0" w:space="0" w:color="auto"/>
                                                <w:right w:val="none" w:sz="0" w:space="0" w:color="auto"/>
                                              </w:divBdr>
                                              <w:divsChild>
                                                <w:div w:id="1703509717">
                                                  <w:marLeft w:val="0"/>
                                                  <w:marRight w:val="0"/>
                                                  <w:marTop w:val="0"/>
                                                  <w:marBottom w:val="0"/>
                                                  <w:divBdr>
                                                    <w:top w:val="none" w:sz="0" w:space="0" w:color="auto"/>
                                                    <w:left w:val="none" w:sz="0" w:space="0" w:color="auto"/>
                                                    <w:bottom w:val="none" w:sz="0" w:space="0" w:color="auto"/>
                                                    <w:right w:val="none" w:sz="0" w:space="0" w:color="auto"/>
                                                  </w:divBdr>
                                                  <w:divsChild>
                                                    <w:div w:id="119511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7913510">
      <w:bodyDiv w:val="1"/>
      <w:marLeft w:val="0"/>
      <w:marRight w:val="0"/>
      <w:marTop w:val="0"/>
      <w:marBottom w:val="0"/>
      <w:divBdr>
        <w:top w:val="none" w:sz="0" w:space="0" w:color="auto"/>
        <w:left w:val="none" w:sz="0" w:space="0" w:color="auto"/>
        <w:bottom w:val="none" w:sz="0" w:space="0" w:color="auto"/>
        <w:right w:val="none" w:sz="0" w:space="0" w:color="auto"/>
      </w:divBdr>
      <w:divsChild>
        <w:div w:id="1667325124">
          <w:marLeft w:val="0"/>
          <w:marRight w:val="0"/>
          <w:marTop w:val="0"/>
          <w:marBottom w:val="0"/>
          <w:divBdr>
            <w:top w:val="none" w:sz="0" w:space="0" w:color="auto"/>
            <w:left w:val="none" w:sz="0" w:space="0" w:color="auto"/>
            <w:bottom w:val="none" w:sz="0" w:space="0" w:color="auto"/>
            <w:right w:val="none" w:sz="0" w:space="0" w:color="auto"/>
          </w:divBdr>
          <w:divsChild>
            <w:div w:id="792014814">
              <w:marLeft w:val="-225"/>
              <w:marRight w:val="-225"/>
              <w:marTop w:val="0"/>
              <w:marBottom w:val="0"/>
              <w:divBdr>
                <w:top w:val="none" w:sz="0" w:space="0" w:color="auto"/>
                <w:left w:val="none" w:sz="0" w:space="0" w:color="auto"/>
                <w:bottom w:val="none" w:sz="0" w:space="0" w:color="auto"/>
                <w:right w:val="none" w:sz="0" w:space="0" w:color="auto"/>
              </w:divBdr>
              <w:divsChild>
                <w:div w:id="2110080133">
                  <w:marLeft w:val="0"/>
                  <w:marRight w:val="0"/>
                  <w:marTop w:val="0"/>
                  <w:marBottom w:val="0"/>
                  <w:divBdr>
                    <w:top w:val="none" w:sz="0" w:space="0" w:color="auto"/>
                    <w:left w:val="none" w:sz="0" w:space="0" w:color="auto"/>
                    <w:bottom w:val="none" w:sz="0" w:space="0" w:color="auto"/>
                    <w:right w:val="none" w:sz="0" w:space="0" w:color="auto"/>
                  </w:divBdr>
                  <w:divsChild>
                    <w:div w:id="2036073262">
                      <w:marLeft w:val="0"/>
                      <w:marRight w:val="0"/>
                      <w:marTop w:val="0"/>
                      <w:marBottom w:val="0"/>
                      <w:divBdr>
                        <w:top w:val="none" w:sz="0" w:space="0" w:color="auto"/>
                        <w:left w:val="none" w:sz="0" w:space="0" w:color="auto"/>
                        <w:bottom w:val="none" w:sz="0" w:space="0" w:color="auto"/>
                        <w:right w:val="none" w:sz="0" w:space="0" w:color="auto"/>
                      </w:divBdr>
                      <w:divsChild>
                        <w:div w:id="1111244000">
                          <w:marLeft w:val="0"/>
                          <w:marRight w:val="0"/>
                          <w:marTop w:val="0"/>
                          <w:marBottom w:val="0"/>
                          <w:divBdr>
                            <w:top w:val="none" w:sz="0" w:space="0" w:color="auto"/>
                            <w:left w:val="none" w:sz="0" w:space="0" w:color="auto"/>
                            <w:bottom w:val="none" w:sz="0" w:space="0" w:color="auto"/>
                            <w:right w:val="none" w:sz="0" w:space="0" w:color="auto"/>
                          </w:divBdr>
                          <w:divsChild>
                            <w:div w:id="1514607372">
                              <w:marLeft w:val="0"/>
                              <w:marRight w:val="0"/>
                              <w:marTop w:val="0"/>
                              <w:marBottom w:val="0"/>
                              <w:divBdr>
                                <w:top w:val="none" w:sz="0" w:space="0" w:color="auto"/>
                                <w:left w:val="none" w:sz="0" w:space="0" w:color="auto"/>
                                <w:bottom w:val="none" w:sz="0" w:space="0" w:color="auto"/>
                                <w:right w:val="none" w:sz="0" w:space="0" w:color="auto"/>
                              </w:divBdr>
                              <w:divsChild>
                                <w:div w:id="385882877">
                                  <w:marLeft w:val="0"/>
                                  <w:marRight w:val="0"/>
                                  <w:marTop w:val="0"/>
                                  <w:marBottom w:val="0"/>
                                  <w:divBdr>
                                    <w:top w:val="none" w:sz="0" w:space="0" w:color="auto"/>
                                    <w:left w:val="none" w:sz="0" w:space="0" w:color="auto"/>
                                    <w:bottom w:val="none" w:sz="0" w:space="0" w:color="auto"/>
                                    <w:right w:val="none" w:sz="0" w:space="0" w:color="auto"/>
                                  </w:divBdr>
                                  <w:divsChild>
                                    <w:div w:id="69608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gsafety.uk@ethypharm.com" TargetMode="External"/><Relationship Id="rId3" Type="http://schemas.openxmlformats.org/officeDocument/2006/relationships/settings" Target="settings.xml"/><Relationship Id="rId7" Type="http://schemas.openxmlformats.org/officeDocument/2006/relationships/hyperlink" Target="http://www.mhra.gov.uk/yellowcar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rugsafety.uk@ethypharm.com" TargetMode="External"/><Relationship Id="rId4" Type="http://schemas.openxmlformats.org/officeDocument/2006/relationships/webSettings" Target="webSettings.xml"/><Relationship Id="rId9" Type="http://schemas.openxmlformats.org/officeDocument/2006/relationships/hyperlink" Target="http://www.mhra.gov.uk/yellowc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60AE2-BBCC-4169-AAAB-57B4FC5F6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Martindale Pharma</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Fania Bennett</dc:creator>
  <cp:lastModifiedBy>Fania Bennett</cp:lastModifiedBy>
  <cp:revision>8</cp:revision>
  <cp:lastPrinted>2019-02-04T10:50:00Z</cp:lastPrinted>
  <dcterms:created xsi:type="dcterms:W3CDTF">2020-02-24T13:06:00Z</dcterms:created>
  <dcterms:modified xsi:type="dcterms:W3CDTF">2020-02-28T13:50:00Z</dcterms:modified>
</cp:coreProperties>
</file>